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BC" w:rsidRPr="00A25238" w:rsidRDefault="00857915">
      <w:pPr>
        <w:rPr>
          <w:lang w:val="en-GB"/>
        </w:rPr>
      </w:pPr>
      <w:r>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C6F68" w:rsidRPr="00A25238" w:rsidRDefault="002C6F68" w:rsidP="000F7E70">
      <w:pPr>
        <w:autoSpaceDE w:val="0"/>
        <w:ind w:left="720" w:firstLine="720"/>
        <w:jc w:val="center"/>
        <w:rPr>
          <w:b/>
          <w:bCs/>
          <w:lang w:val="en-GB"/>
        </w:rPr>
      </w:pPr>
    </w:p>
    <w:p w:rsidR="000F7E70" w:rsidRPr="00A25238" w:rsidRDefault="000F7E70" w:rsidP="000F7E70">
      <w:pPr>
        <w:autoSpaceDE w:val="0"/>
        <w:ind w:left="720" w:firstLine="720"/>
        <w:jc w:val="center"/>
        <w:rPr>
          <w:b/>
          <w:bCs/>
          <w:lang w:val="en-GB"/>
        </w:rPr>
      </w:pPr>
      <w:r w:rsidRPr="00A25238">
        <w:rPr>
          <w:b/>
          <w:bCs/>
          <w:lang w:val="en-GB"/>
        </w:rPr>
        <w:t>OPINION</w:t>
      </w:r>
    </w:p>
    <w:p w:rsidR="003041AF" w:rsidRDefault="003041AF" w:rsidP="000F7E70">
      <w:pPr>
        <w:autoSpaceDE w:val="0"/>
        <w:jc w:val="both"/>
        <w:rPr>
          <w:b/>
          <w:bCs/>
          <w:lang w:val="en-GB"/>
        </w:rPr>
      </w:pPr>
    </w:p>
    <w:p w:rsidR="000F7E70" w:rsidRPr="00A25238" w:rsidRDefault="000F7E70" w:rsidP="000F7E70">
      <w:pPr>
        <w:autoSpaceDE w:val="0"/>
        <w:jc w:val="both"/>
        <w:rPr>
          <w:b/>
          <w:bCs/>
          <w:lang w:val="en-GB"/>
        </w:rPr>
      </w:pPr>
      <w:r w:rsidRPr="00A25238">
        <w:rPr>
          <w:b/>
          <w:bCs/>
          <w:lang w:val="en-GB"/>
        </w:rPr>
        <w:t xml:space="preserve">Date of adoption: </w:t>
      </w:r>
      <w:r w:rsidR="003041AF">
        <w:rPr>
          <w:b/>
          <w:bCs/>
          <w:lang w:val="en-GB"/>
        </w:rPr>
        <w:t>14</w:t>
      </w:r>
      <w:r w:rsidRPr="00A25238">
        <w:rPr>
          <w:b/>
          <w:bCs/>
          <w:lang w:val="en-GB"/>
        </w:rPr>
        <w:t xml:space="preserve"> </w:t>
      </w:r>
      <w:r w:rsidR="00175D11" w:rsidRPr="00A25238">
        <w:rPr>
          <w:b/>
          <w:bCs/>
          <w:lang w:val="en-GB"/>
        </w:rPr>
        <w:t>March</w:t>
      </w:r>
      <w:r w:rsidRPr="00A25238">
        <w:rPr>
          <w:b/>
          <w:bCs/>
          <w:lang w:val="en-GB"/>
        </w:rPr>
        <w:t xml:space="preserve"> 20</w:t>
      </w:r>
      <w:r w:rsidR="00C905F1" w:rsidRPr="00A25238">
        <w:rPr>
          <w:b/>
          <w:bCs/>
          <w:lang w:val="en-GB"/>
        </w:rPr>
        <w:t>1</w:t>
      </w:r>
      <w:r w:rsidR="00A76DB6" w:rsidRPr="00A25238">
        <w:rPr>
          <w:b/>
          <w:bCs/>
          <w:lang w:val="en-GB"/>
        </w:rPr>
        <w:t>3</w:t>
      </w:r>
    </w:p>
    <w:p w:rsidR="000F7E70" w:rsidRPr="00A25238" w:rsidRDefault="000F7E70" w:rsidP="000F7E70">
      <w:pPr>
        <w:autoSpaceDE w:val="0"/>
        <w:jc w:val="both"/>
        <w:rPr>
          <w:b/>
          <w:bCs/>
          <w:lang w:val="en-GB"/>
        </w:rPr>
      </w:pPr>
    </w:p>
    <w:p w:rsidR="000F7E70" w:rsidRPr="00A25238" w:rsidRDefault="000F7E70" w:rsidP="000F7E70">
      <w:pPr>
        <w:autoSpaceDE w:val="0"/>
        <w:jc w:val="both"/>
        <w:rPr>
          <w:b/>
          <w:bCs/>
          <w:lang w:val="en-GB"/>
        </w:rPr>
      </w:pPr>
    </w:p>
    <w:p w:rsidR="000F7E70" w:rsidRPr="00A25238" w:rsidRDefault="000F7E70" w:rsidP="000F7E70">
      <w:pPr>
        <w:autoSpaceDE w:val="0"/>
        <w:jc w:val="both"/>
        <w:rPr>
          <w:b/>
          <w:bCs/>
          <w:lang w:val="en-GB"/>
        </w:rPr>
      </w:pPr>
      <w:r w:rsidRPr="00A25238">
        <w:rPr>
          <w:b/>
          <w:bCs/>
          <w:lang w:val="en-GB"/>
        </w:rPr>
        <w:t xml:space="preserve">Case No. </w:t>
      </w:r>
      <w:r w:rsidR="00175D11" w:rsidRPr="00A25238">
        <w:rPr>
          <w:b/>
          <w:bCs/>
          <w:lang w:val="en-GB"/>
        </w:rPr>
        <w:t>268</w:t>
      </w:r>
      <w:r w:rsidRPr="00A25238">
        <w:rPr>
          <w:b/>
          <w:bCs/>
          <w:lang w:val="en-GB"/>
        </w:rPr>
        <w:t>/</w:t>
      </w:r>
      <w:r w:rsidR="00C905F1" w:rsidRPr="00A25238">
        <w:rPr>
          <w:b/>
          <w:bCs/>
          <w:lang w:val="en-GB"/>
        </w:rPr>
        <w:t>09</w:t>
      </w:r>
    </w:p>
    <w:p w:rsidR="000F7E70" w:rsidRPr="00A25238" w:rsidRDefault="000F7E70" w:rsidP="000F7E70">
      <w:pPr>
        <w:autoSpaceDE w:val="0"/>
        <w:jc w:val="both"/>
        <w:rPr>
          <w:b/>
          <w:bCs/>
          <w:lang w:val="en-GB"/>
        </w:rPr>
      </w:pPr>
    </w:p>
    <w:p w:rsidR="00175D11" w:rsidRPr="00A25238" w:rsidRDefault="00175D11" w:rsidP="00175D11">
      <w:pPr>
        <w:autoSpaceDE w:val="0"/>
        <w:autoSpaceDN w:val="0"/>
        <w:adjustRightInd w:val="0"/>
        <w:jc w:val="both"/>
        <w:rPr>
          <w:b/>
          <w:bCs/>
          <w:lang w:val="en-GB"/>
        </w:rPr>
      </w:pPr>
      <w:r w:rsidRPr="00A25238">
        <w:rPr>
          <w:b/>
          <w:bCs/>
          <w:lang w:val="en-GB"/>
        </w:rPr>
        <w:t xml:space="preserve">Slavica NEDELJKOVIĆ </w:t>
      </w:r>
    </w:p>
    <w:p w:rsidR="00A40F98" w:rsidRPr="00A25238" w:rsidRDefault="00A40F98" w:rsidP="000F7E70">
      <w:pPr>
        <w:autoSpaceDE w:val="0"/>
        <w:jc w:val="both"/>
        <w:rPr>
          <w:b/>
          <w:bCs/>
          <w:lang w:val="en-GB"/>
        </w:rPr>
      </w:pPr>
    </w:p>
    <w:p w:rsidR="000F7E70" w:rsidRPr="00A25238" w:rsidRDefault="000F7E70" w:rsidP="000F7E70">
      <w:pPr>
        <w:autoSpaceDE w:val="0"/>
        <w:jc w:val="both"/>
        <w:rPr>
          <w:b/>
          <w:bCs/>
          <w:lang w:val="en-GB"/>
        </w:rPr>
      </w:pPr>
      <w:r w:rsidRPr="00A25238">
        <w:rPr>
          <w:b/>
          <w:bCs/>
          <w:lang w:val="en-GB"/>
        </w:rPr>
        <w:t>against</w:t>
      </w:r>
    </w:p>
    <w:p w:rsidR="000F7E70" w:rsidRPr="00A25238" w:rsidRDefault="000F7E70" w:rsidP="000F7E70">
      <w:pPr>
        <w:autoSpaceDE w:val="0"/>
        <w:jc w:val="both"/>
        <w:rPr>
          <w:b/>
          <w:bCs/>
          <w:lang w:val="en-GB"/>
        </w:rPr>
      </w:pPr>
      <w:r w:rsidRPr="00A25238">
        <w:rPr>
          <w:b/>
          <w:bCs/>
          <w:lang w:val="en-GB"/>
        </w:rPr>
        <w:t xml:space="preserve"> </w:t>
      </w:r>
    </w:p>
    <w:p w:rsidR="000F7E70" w:rsidRPr="00A25238" w:rsidRDefault="000F7E70" w:rsidP="000F7E70">
      <w:pPr>
        <w:autoSpaceDE w:val="0"/>
        <w:jc w:val="both"/>
        <w:rPr>
          <w:b/>
          <w:bCs/>
          <w:lang w:val="en-GB"/>
        </w:rPr>
      </w:pPr>
      <w:r w:rsidRPr="00A25238">
        <w:rPr>
          <w:b/>
          <w:bCs/>
          <w:lang w:val="en-GB"/>
        </w:rPr>
        <w:t xml:space="preserve">UNMIK </w:t>
      </w:r>
    </w:p>
    <w:p w:rsidR="00E07C8C" w:rsidRPr="00A25238" w:rsidRDefault="00E07C8C" w:rsidP="000F7E70">
      <w:pPr>
        <w:autoSpaceDE w:val="0"/>
        <w:jc w:val="both"/>
        <w:rPr>
          <w:b/>
          <w:bCs/>
          <w:lang w:val="en-GB"/>
        </w:rPr>
      </w:pPr>
    </w:p>
    <w:p w:rsidR="000F7E70" w:rsidRPr="00A25238" w:rsidRDefault="000F7E70" w:rsidP="000F7E70">
      <w:pPr>
        <w:autoSpaceDE w:val="0"/>
        <w:jc w:val="both"/>
        <w:rPr>
          <w:b/>
          <w:bCs/>
          <w:lang w:val="en-GB"/>
        </w:rPr>
      </w:pPr>
      <w:r w:rsidRPr="00A25238">
        <w:rPr>
          <w:b/>
          <w:bCs/>
          <w:lang w:val="en-GB"/>
        </w:rPr>
        <w:t xml:space="preserve"> </w:t>
      </w:r>
    </w:p>
    <w:p w:rsidR="000F7E70" w:rsidRPr="00A25238" w:rsidRDefault="000F7E70" w:rsidP="000F7E70">
      <w:pPr>
        <w:autoSpaceDE w:val="0"/>
        <w:jc w:val="both"/>
        <w:rPr>
          <w:b/>
          <w:bCs/>
          <w:lang w:val="en-GB"/>
        </w:rPr>
      </w:pPr>
      <w:r w:rsidRPr="00A25238">
        <w:rPr>
          <w:b/>
          <w:bCs/>
          <w:lang w:val="en-GB"/>
        </w:rPr>
        <w:t xml:space="preserve"> </w:t>
      </w:r>
    </w:p>
    <w:p w:rsidR="000F7E70" w:rsidRPr="00A25238" w:rsidRDefault="000F7E70" w:rsidP="000F7E70">
      <w:pPr>
        <w:autoSpaceDE w:val="0"/>
        <w:jc w:val="both"/>
        <w:rPr>
          <w:lang w:val="en-GB"/>
        </w:rPr>
      </w:pPr>
      <w:r w:rsidRPr="00A25238">
        <w:rPr>
          <w:lang w:val="en-GB"/>
        </w:rPr>
        <w:t>The Human Rights Advisory Panel</w:t>
      </w:r>
      <w:r w:rsidR="00F379DF" w:rsidRPr="00A25238">
        <w:rPr>
          <w:lang w:val="en-GB"/>
        </w:rPr>
        <w:t>,</w:t>
      </w:r>
      <w:r w:rsidR="00BD6F0B" w:rsidRPr="00A25238">
        <w:rPr>
          <w:lang w:val="en-GB"/>
        </w:rPr>
        <w:t xml:space="preserve"> sitting </w:t>
      </w:r>
      <w:r w:rsidRPr="00A25238">
        <w:rPr>
          <w:lang w:val="en-GB"/>
        </w:rPr>
        <w:t>on</w:t>
      </w:r>
      <w:r w:rsidR="001A08B0" w:rsidRPr="00A25238">
        <w:rPr>
          <w:lang w:val="en-GB"/>
        </w:rPr>
        <w:t xml:space="preserve"> </w:t>
      </w:r>
      <w:r w:rsidR="003041AF">
        <w:rPr>
          <w:lang w:val="en-GB"/>
        </w:rPr>
        <w:t>14</w:t>
      </w:r>
      <w:r w:rsidR="001A08B0" w:rsidRPr="00A25238">
        <w:rPr>
          <w:lang w:val="en-GB"/>
        </w:rPr>
        <w:t xml:space="preserve"> </w:t>
      </w:r>
      <w:r w:rsidR="00175D11" w:rsidRPr="00A25238">
        <w:rPr>
          <w:lang w:val="en-GB"/>
        </w:rPr>
        <w:t>March</w:t>
      </w:r>
      <w:r w:rsidR="002B3D61" w:rsidRPr="00A25238">
        <w:rPr>
          <w:lang w:val="en-GB"/>
        </w:rPr>
        <w:t xml:space="preserve"> </w:t>
      </w:r>
      <w:r w:rsidR="00173F75" w:rsidRPr="00A25238">
        <w:rPr>
          <w:lang w:val="en-GB"/>
        </w:rPr>
        <w:t>20</w:t>
      </w:r>
      <w:r w:rsidR="005917EC" w:rsidRPr="00A25238">
        <w:rPr>
          <w:lang w:val="en-GB"/>
        </w:rPr>
        <w:t>1</w:t>
      </w:r>
      <w:r w:rsidR="00A76DB6" w:rsidRPr="00A25238">
        <w:rPr>
          <w:lang w:val="en-GB"/>
        </w:rPr>
        <w:t>3</w:t>
      </w:r>
      <w:r w:rsidR="004234FA" w:rsidRPr="00A25238">
        <w:rPr>
          <w:lang w:val="en-GB"/>
        </w:rPr>
        <w:t>,</w:t>
      </w:r>
    </w:p>
    <w:p w:rsidR="000F7E70" w:rsidRPr="00A25238" w:rsidRDefault="000F7E70" w:rsidP="000F7E70">
      <w:pPr>
        <w:autoSpaceDE w:val="0"/>
        <w:jc w:val="both"/>
        <w:rPr>
          <w:lang w:val="en-GB"/>
        </w:rPr>
      </w:pPr>
      <w:r w:rsidRPr="00A25238">
        <w:rPr>
          <w:lang w:val="en-GB"/>
        </w:rPr>
        <w:t xml:space="preserve">with the following members </w:t>
      </w:r>
      <w:r w:rsidR="003C6DFA" w:rsidRPr="00A25238">
        <w:rPr>
          <w:lang w:val="en-GB"/>
        </w:rPr>
        <w:t>present</w:t>
      </w:r>
      <w:r w:rsidRPr="00A25238">
        <w:rPr>
          <w:lang w:val="en-GB"/>
        </w:rPr>
        <w:t>:</w:t>
      </w:r>
    </w:p>
    <w:p w:rsidR="000F7E70" w:rsidRPr="00A25238" w:rsidRDefault="000F7E70" w:rsidP="000F7E70">
      <w:pPr>
        <w:autoSpaceDE w:val="0"/>
        <w:jc w:val="both"/>
        <w:rPr>
          <w:lang w:val="en-GB"/>
        </w:rPr>
      </w:pPr>
    </w:p>
    <w:p w:rsidR="00E07C8C" w:rsidRPr="00A25238" w:rsidRDefault="00E07C8C" w:rsidP="000F7E70">
      <w:pPr>
        <w:autoSpaceDE w:val="0"/>
        <w:jc w:val="both"/>
        <w:rPr>
          <w:lang w:val="en-GB"/>
        </w:rPr>
      </w:pPr>
      <w:r w:rsidRPr="00A25238">
        <w:rPr>
          <w:lang w:val="en-GB"/>
        </w:rPr>
        <w:t>Mr Marek NOWICKI, Presiding Membe</w:t>
      </w:r>
      <w:r w:rsidR="000D5BCF" w:rsidRPr="00A25238">
        <w:rPr>
          <w:lang w:val="en-GB"/>
        </w:rPr>
        <w:t>r</w:t>
      </w:r>
    </w:p>
    <w:p w:rsidR="000F7E70" w:rsidRPr="00A25238" w:rsidRDefault="000F7E70" w:rsidP="000F7E70">
      <w:pPr>
        <w:autoSpaceDE w:val="0"/>
        <w:jc w:val="both"/>
        <w:rPr>
          <w:lang w:val="en-GB"/>
        </w:rPr>
      </w:pPr>
      <w:r w:rsidRPr="00A25238">
        <w:rPr>
          <w:lang w:val="en-GB"/>
        </w:rPr>
        <w:t xml:space="preserve">Ms </w:t>
      </w:r>
      <w:r w:rsidR="00E07C8C" w:rsidRPr="00A25238">
        <w:rPr>
          <w:lang w:val="en-GB"/>
        </w:rPr>
        <w:t>Christine CHINKIN</w:t>
      </w:r>
    </w:p>
    <w:p w:rsidR="000F7E70" w:rsidRPr="00A25238" w:rsidRDefault="00A40F98" w:rsidP="000F7E70">
      <w:pPr>
        <w:autoSpaceDE w:val="0"/>
        <w:jc w:val="both"/>
        <w:rPr>
          <w:lang w:val="en-GB"/>
        </w:rPr>
      </w:pPr>
      <w:r w:rsidRPr="00A25238">
        <w:rPr>
          <w:lang w:val="en-GB"/>
        </w:rPr>
        <w:t xml:space="preserve">Ms Françoise </w:t>
      </w:r>
      <w:r w:rsidR="00F04F5B" w:rsidRPr="00A25238">
        <w:rPr>
          <w:lang w:val="en-GB"/>
        </w:rPr>
        <w:t>TULKENS</w:t>
      </w:r>
    </w:p>
    <w:p w:rsidR="00A76DB6" w:rsidRPr="00A25238" w:rsidRDefault="00A76DB6" w:rsidP="000F7E70">
      <w:pPr>
        <w:autoSpaceDE w:val="0"/>
        <w:jc w:val="both"/>
        <w:rPr>
          <w:lang w:val="en-GB"/>
        </w:rPr>
      </w:pPr>
    </w:p>
    <w:p w:rsidR="000F7E70" w:rsidRPr="00A25238" w:rsidRDefault="00E07C8C" w:rsidP="000F7E70">
      <w:pPr>
        <w:autoSpaceDE w:val="0"/>
        <w:jc w:val="both"/>
        <w:rPr>
          <w:lang w:val="en-GB"/>
        </w:rPr>
      </w:pPr>
      <w:r w:rsidRPr="00A25238">
        <w:rPr>
          <w:lang w:val="en-GB"/>
        </w:rPr>
        <w:t>Assisted by</w:t>
      </w:r>
    </w:p>
    <w:p w:rsidR="00E07C8C" w:rsidRPr="00A25238" w:rsidRDefault="00E07C8C" w:rsidP="000F7E70">
      <w:pPr>
        <w:autoSpaceDE w:val="0"/>
        <w:jc w:val="both"/>
        <w:rPr>
          <w:lang w:val="en-GB"/>
        </w:rPr>
      </w:pPr>
    </w:p>
    <w:p w:rsidR="000F7E70" w:rsidRPr="00A25238" w:rsidRDefault="00A16C77" w:rsidP="000F7E70">
      <w:pPr>
        <w:autoSpaceDE w:val="0"/>
        <w:jc w:val="both"/>
        <w:rPr>
          <w:lang w:val="en-GB"/>
        </w:rPr>
      </w:pPr>
      <w:r w:rsidRPr="00A25238">
        <w:rPr>
          <w:lang w:val="en-GB"/>
        </w:rPr>
        <w:t>Mr</w:t>
      </w:r>
      <w:r w:rsidR="000F7E70" w:rsidRPr="00A25238">
        <w:rPr>
          <w:lang w:val="en-GB"/>
        </w:rPr>
        <w:t xml:space="preserve"> </w:t>
      </w:r>
      <w:r w:rsidR="00E07C8C" w:rsidRPr="00A25238">
        <w:rPr>
          <w:lang w:val="en-GB"/>
        </w:rPr>
        <w:t>Andrey ANTONOV</w:t>
      </w:r>
      <w:r w:rsidR="000F7E70" w:rsidRPr="00A25238">
        <w:rPr>
          <w:lang w:val="en-GB"/>
        </w:rPr>
        <w:t>, Executive Officer</w:t>
      </w:r>
    </w:p>
    <w:p w:rsidR="000F7E70" w:rsidRPr="00A25238" w:rsidRDefault="000F7E70" w:rsidP="000F7E70">
      <w:pPr>
        <w:autoSpaceDE w:val="0"/>
        <w:jc w:val="both"/>
        <w:rPr>
          <w:lang w:val="en-GB"/>
        </w:rPr>
      </w:pPr>
    </w:p>
    <w:p w:rsidR="00E07C8C" w:rsidRPr="00A25238" w:rsidRDefault="00E07C8C" w:rsidP="000F7E70">
      <w:pPr>
        <w:autoSpaceDE w:val="0"/>
        <w:jc w:val="both"/>
        <w:rPr>
          <w:lang w:val="en-GB"/>
        </w:rPr>
      </w:pPr>
    </w:p>
    <w:p w:rsidR="000F7E70" w:rsidRPr="00A25238" w:rsidRDefault="000F7E70" w:rsidP="000F7E70">
      <w:pPr>
        <w:autoSpaceDE w:val="0"/>
        <w:jc w:val="both"/>
        <w:rPr>
          <w:lang w:val="en-GB"/>
        </w:rPr>
      </w:pPr>
      <w:r w:rsidRPr="00A25238">
        <w:rPr>
          <w:lang w:val="en-GB"/>
        </w:rPr>
        <w:t>Having considered the aforementioned complaint, introduced pursuant to Section 1.2 of UNMIK Regulation No. 2006/12 of 23 March 2006 on the establishment of the Human Rights Advisory Panel,</w:t>
      </w:r>
    </w:p>
    <w:p w:rsidR="000F7E70" w:rsidRPr="00A25238" w:rsidRDefault="000F7E70" w:rsidP="000F7E70">
      <w:pPr>
        <w:autoSpaceDE w:val="0"/>
        <w:jc w:val="both"/>
        <w:rPr>
          <w:lang w:val="en-GB"/>
        </w:rPr>
      </w:pPr>
    </w:p>
    <w:p w:rsidR="00F379DF" w:rsidRPr="00A25238" w:rsidRDefault="00F379DF" w:rsidP="000F7E70">
      <w:pPr>
        <w:autoSpaceDE w:val="0"/>
        <w:jc w:val="both"/>
        <w:rPr>
          <w:lang w:val="en-GB"/>
        </w:rPr>
      </w:pPr>
      <w:r w:rsidRPr="00A25238">
        <w:rPr>
          <w:lang w:val="en-GB"/>
        </w:rPr>
        <w:t>Having deliberated</w:t>
      </w:r>
      <w:r w:rsidR="002201E7" w:rsidRPr="00A25238">
        <w:rPr>
          <w:lang w:val="en-GB"/>
        </w:rPr>
        <w:t>,</w:t>
      </w:r>
      <w:r w:rsidRPr="00A25238">
        <w:rPr>
          <w:lang w:val="en-GB"/>
        </w:rPr>
        <w:t xml:space="preserve"> makes the following </w:t>
      </w:r>
      <w:r w:rsidR="002201E7" w:rsidRPr="00A25238">
        <w:rPr>
          <w:lang w:val="en-GB"/>
        </w:rPr>
        <w:t>findings and recommendations</w:t>
      </w:r>
      <w:r w:rsidRPr="00A25238">
        <w:rPr>
          <w:lang w:val="en-GB"/>
        </w:rPr>
        <w:t>:</w:t>
      </w:r>
    </w:p>
    <w:p w:rsidR="000F7E70" w:rsidRPr="00A25238" w:rsidRDefault="000F7E70" w:rsidP="000F7E70">
      <w:pPr>
        <w:autoSpaceDE w:val="0"/>
        <w:jc w:val="both"/>
        <w:rPr>
          <w:lang w:val="en-GB"/>
        </w:rPr>
      </w:pPr>
      <w:r w:rsidRPr="00A25238">
        <w:rPr>
          <w:lang w:val="en-GB"/>
        </w:rPr>
        <w:t xml:space="preserve"> </w:t>
      </w:r>
    </w:p>
    <w:p w:rsidR="0016154E" w:rsidRPr="00A25238" w:rsidRDefault="0016154E" w:rsidP="00EC64DD">
      <w:pPr>
        <w:tabs>
          <w:tab w:val="left" w:pos="360"/>
        </w:tabs>
        <w:autoSpaceDE w:val="0"/>
        <w:ind w:left="360" w:hanging="360"/>
        <w:jc w:val="both"/>
        <w:rPr>
          <w:lang w:val="en-GB"/>
        </w:rPr>
      </w:pPr>
    </w:p>
    <w:p w:rsidR="0016154E" w:rsidRPr="00A25238" w:rsidRDefault="0016154E" w:rsidP="00EC64DD">
      <w:pPr>
        <w:numPr>
          <w:ilvl w:val="0"/>
          <w:numId w:val="2"/>
        </w:numPr>
        <w:tabs>
          <w:tab w:val="left" w:pos="360"/>
        </w:tabs>
        <w:suppressAutoHyphens/>
        <w:autoSpaceDE w:val="0"/>
        <w:ind w:left="360" w:hanging="360"/>
        <w:jc w:val="both"/>
        <w:rPr>
          <w:b/>
          <w:bCs/>
          <w:lang w:val="en-GB"/>
        </w:rPr>
      </w:pPr>
      <w:r w:rsidRPr="00A25238">
        <w:rPr>
          <w:b/>
          <w:bCs/>
          <w:lang w:val="en-GB"/>
        </w:rPr>
        <w:t>PROCEEDINGS BEFORE THE PANEL</w:t>
      </w:r>
    </w:p>
    <w:p w:rsidR="0016154E" w:rsidRPr="00A25238" w:rsidRDefault="0016154E" w:rsidP="00EC64DD">
      <w:pPr>
        <w:tabs>
          <w:tab w:val="left" w:pos="360"/>
        </w:tabs>
        <w:autoSpaceDE w:val="0"/>
        <w:ind w:left="360" w:hanging="360"/>
        <w:jc w:val="both"/>
        <w:rPr>
          <w:b/>
          <w:bCs/>
          <w:lang w:val="en-GB"/>
        </w:rPr>
      </w:pPr>
    </w:p>
    <w:p w:rsidR="00E618D8" w:rsidRPr="003041AF" w:rsidRDefault="00382CFB" w:rsidP="00382CFB">
      <w:pPr>
        <w:pStyle w:val="Default"/>
        <w:numPr>
          <w:ilvl w:val="0"/>
          <w:numId w:val="6"/>
        </w:numPr>
        <w:jc w:val="both"/>
        <w:rPr>
          <w:lang w:val="en-GB"/>
        </w:rPr>
      </w:pPr>
      <w:r w:rsidRPr="003041AF">
        <w:rPr>
          <w:lang w:val="en-GB"/>
        </w:rPr>
        <w:t xml:space="preserve">The complaint was introduced on 10 April 2009 and registered on 30 April 2009. </w:t>
      </w:r>
    </w:p>
    <w:p w:rsidR="00382CFB" w:rsidRPr="003041AF" w:rsidRDefault="00382CFB" w:rsidP="00E618D8">
      <w:pPr>
        <w:pStyle w:val="Default"/>
        <w:ind w:left="360"/>
        <w:jc w:val="both"/>
        <w:rPr>
          <w:lang w:val="en-GB"/>
        </w:rPr>
      </w:pPr>
      <w:r w:rsidRPr="003041AF">
        <w:rPr>
          <w:lang w:val="en-GB"/>
        </w:rPr>
        <w:t xml:space="preserve"> </w:t>
      </w:r>
    </w:p>
    <w:p w:rsidR="00382CFB" w:rsidRPr="003041AF" w:rsidRDefault="00382CFB" w:rsidP="00382CFB">
      <w:pPr>
        <w:pStyle w:val="Default"/>
        <w:numPr>
          <w:ilvl w:val="0"/>
          <w:numId w:val="6"/>
        </w:numPr>
        <w:jc w:val="both"/>
        <w:rPr>
          <w:lang w:val="en-GB"/>
        </w:rPr>
      </w:pPr>
      <w:r w:rsidRPr="003041AF">
        <w:rPr>
          <w:lang w:val="en-GB"/>
        </w:rPr>
        <w:lastRenderedPageBreak/>
        <w:t>On 27 December 2010, the Human Rights Advisory Panel communicated the case to the Special Representative of the Secretary-General (SRSG)</w:t>
      </w:r>
      <w:r w:rsidR="00051208" w:rsidRPr="003041AF">
        <w:rPr>
          <w:rStyle w:val="FootnoteReference"/>
          <w:lang w:val="en-GB"/>
        </w:rPr>
        <w:footnoteReference w:id="1"/>
      </w:r>
      <w:r w:rsidRPr="003041AF">
        <w:rPr>
          <w:lang w:val="en-GB"/>
        </w:rPr>
        <w:t xml:space="preserve"> for UNMIK’s comments on the admissibility of the case. On 1 March 2011, </w:t>
      </w:r>
      <w:r w:rsidR="00E618D8" w:rsidRPr="003041AF">
        <w:rPr>
          <w:lang w:val="en-GB"/>
        </w:rPr>
        <w:t>the SRSG provided UNMIK’s response.</w:t>
      </w:r>
    </w:p>
    <w:p w:rsidR="00382CFB" w:rsidRPr="003041AF" w:rsidRDefault="00382CFB" w:rsidP="00382CFB">
      <w:pPr>
        <w:pStyle w:val="Default"/>
        <w:ind w:left="360"/>
        <w:jc w:val="both"/>
        <w:rPr>
          <w:lang w:val="en-GB"/>
        </w:rPr>
      </w:pPr>
    </w:p>
    <w:p w:rsidR="00382CFB" w:rsidRPr="003041AF" w:rsidRDefault="0016154E" w:rsidP="00382CFB">
      <w:pPr>
        <w:pStyle w:val="Default"/>
        <w:numPr>
          <w:ilvl w:val="0"/>
          <w:numId w:val="6"/>
        </w:numPr>
        <w:jc w:val="both"/>
        <w:rPr>
          <w:lang w:val="en-GB"/>
        </w:rPr>
      </w:pPr>
      <w:r w:rsidRPr="003041AF">
        <w:rPr>
          <w:lang w:val="en-GB"/>
        </w:rPr>
        <w:t xml:space="preserve">On </w:t>
      </w:r>
      <w:r w:rsidR="00382CFB" w:rsidRPr="003041AF">
        <w:rPr>
          <w:lang w:val="en-GB"/>
        </w:rPr>
        <w:t>13</w:t>
      </w:r>
      <w:r w:rsidR="00F87807" w:rsidRPr="003041AF">
        <w:rPr>
          <w:lang w:val="en-GB"/>
        </w:rPr>
        <w:t xml:space="preserve"> </w:t>
      </w:r>
      <w:r w:rsidR="00382CFB" w:rsidRPr="003041AF">
        <w:rPr>
          <w:lang w:val="en-GB"/>
        </w:rPr>
        <w:t>April</w:t>
      </w:r>
      <w:r w:rsidR="00F87807" w:rsidRPr="003041AF">
        <w:rPr>
          <w:lang w:val="en-GB"/>
        </w:rPr>
        <w:t xml:space="preserve"> 201</w:t>
      </w:r>
      <w:r w:rsidR="00382CFB" w:rsidRPr="003041AF">
        <w:rPr>
          <w:lang w:val="en-GB"/>
        </w:rPr>
        <w:t>1</w:t>
      </w:r>
      <w:r w:rsidR="001852D9" w:rsidRPr="003041AF">
        <w:rPr>
          <w:lang w:val="en-GB"/>
        </w:rPr>
        <w:t>,</w:t>
      </w:r>
      <w:r w:rsidR="00F87807" w:rsidRPr="003041AF">
        <w:rPr>
          <w:lang w:val="en-GB"/>
        </w:rPr>
        <w:t xml:space="preserve"> </w:t>
      </w:r>
      <w:r w:rsidRPr="003041AF">
        <w:rPr>
          <w:lang w:val="en-GB"/>
        </w:rPr>
        <w:t>the Panel declared the complaint admissible.</w:t>
      </w:r>
    </w:p>
    <w:p w:rsidR="00382CFB" w:rsidRPr="003041AF" w:rsidRDefault="00382CFB" w:rsidP="00382CFB">
      <w:pPr>
        <w:pStyle w:val="ListParagraph"/>
        <w:rPr>
          <w:lang w:val="en-GB"/>
        </w:rPr>
      </w:pPr>
    </w:p>
    <w:p w:rsidR="002579EE" w:rsidRDefault="00F87807" w:rsidP="00382CFB">
      <w:pPr>
        <w:pStyle w:val="Default"/>
        <w:numPr>
          <w:ilvl w:val="0"/>
          <w:numId w:val="6"/>
        </w:numPr>
        <w:jc w:val="both"/>
        <w:rPr>
          <w:lang w:val="en-GB"/>
        </w:rPr>
      </w:pPr>
      <w:r w:rsidRPr="003041AF">
        <w:rPr>
          <w:lang w:val="en-GB"/>
        </w:rPr>
        <w:t>On</w:t>
      </w:r>
      <w:r w:rsidR="0016154E" w:rsidRPr="003041AF">
        <w:rPr>
          <w:lang w:val="en-GB"/>
        </w:rPr>
        <w:t xml:space="preserve"> </w:t>
      </w:r>
      <w:r w:rsidR="00382CFB" w:rsidRPr="003041AF">
        <w:rPr>
          <w:lang w:val="en-GB"/>
        </w:rPr>
        <w:t>18</w:t>
      </w:r>
      <w:r w:rsidR="0016154E" w:rsidRPr="003041AF">
        <w:rPr>
          <w:lang w:val="en-GB"/>
        </w:rPr>
        <w:t xml:space="preserve"> </w:t>
      </w:r>
      <w:r w:rsidR="00382CFB" w:rsidRPr="003041AF">
        <w:rPr>
          <w:lang w:val="en-GB"/>
        </w:rPr>
        <w:t>April</w:t>
      </w:r>
      <w:r w:rsidRPr="003041AF">
        <w:rPr>
          <w:lang w:val="en-GB"/>
        </w:rPr>
        <w:t xml:space="preserve"> </w:t>
      </w:r>
      <w:r w:rsidR="0016154E" w:rsidRPr="003041AF">
        <w:rPr>
          <w:lang w:val="en-GB"/>
        </w:rPr>
        <w:t>201</w:t>
      </w:r>
      <w:r w:rsidR="00382CFB" w:rsidRPr="003041AF">
        <w:rPr>
          <w:lang w:val="en-GB"/>
        </w:rPr>
        <w:t>1</w:t>
      </w:r>
      <w:r w:rsidR="001852D9" w:rsidRPr="003041AF">
        <w:rPr>
          <w:lang w:val="en-GB"/>
        </w:rPr>
        <w:t>,</w:t>
      </w:r>
      <w:r w:rsidR="00E618D8" w:rsidRPr="003041AF">
        <w:rPr>
          <w:lang w:val="en-GB"/>
        </w:rPr>
        <w:t xml:space="preserve"> the Panel </w:t>
      </w:r>
      <w:r w:rsidR="00E618D8" w:rsidRPr="003041AF">
        <w:rPr>
          <w:color w:val="auto"/>
          <w:lang w:val="en-GB"/>
        </w:rPr>
        <w:t>forwarded</w:t>
      </w:r>
      <w:r w:rsidR="00E618D8" w:rsidRPr="003041AF">
        <w:rPr>
          <w:lang w:val="en-GB"/>
        </w:rPr>
        <w:t xml:space="preserve"> the decision on admissibility to the SRSG, inviting UNMIK’s observations on the merits of the case</w:t>
      </w:r>
      <w:r w:rsidR="00AA1893" w:rsidRPr="003041AF">
        <w:rPr>
          <w:lang w:val="en-GB"/>
        </w:rPr>
        <w:t xml:space="preserve"> </w:t>
      </w:r>
      <w:r w:rsidR="00382CFB" w:rsidRPr="003041AF">
        <w:rPr>
          <w:lang w:val="en-GB"/>
        </w:rPr>
        <w:t xml:space="preserve">and to submit </w:t>
      </w:r>
      <w:r w:rsidR="00E618D8" w:rsidRPr="003041AF">
        <w:rPr>
          <w:lang w:val="en-GB"/>
        </w:rPr>
        <w:t>the investigative files</w:t>
      </w:r>
      <w:r w:rsidR="0016154E" w:rsidRPr="003041AF">
        <w:rPr>
          <w:lang w:val="en-GB"/>
        </w:rPr>
        <w:t>.</w:t>
      </w:r>
      <w:r w:rsidR="002579EE" w:rsidRPr="003041AF">
        <w:rPr>
          <w:lang w:val="en-GB"/>
        </w:rPr>
        <w:t xml:space="preserve"> </w:t>
      </w:r>
      <w:r w:rsidR="009F2F33" w:rsidRPr="003041AF">
        <w:rPr>
          <w:lang w:val="en-GB"/>
        </w:rPr>
        <w:t>On</w:t>
      </w:r>
      <w:r w:rsidR="0016154E" w:rsidRPr="003041AF">
        <w:rPr>
          <w:lang w:val="en-GB"/>
        </w:rPr>
        <w:t xml:space="preserve"> </w:t>
      </w:r>
      <w:r w:rsidR="009A5FE6" w:rsidRPr="003041AF">
        <w:rPr>
          <w:lang w:val="en-GB"/>
        </w:rPr>
        <w:t>27</w:t>
      </w:r>
      <w:r w:rsidR="0016154E" w:rsidRPr="003041AF">
        <w:rPr>
          <w:lang w:val="en-GB"/>
        </w:rPr>
        <w:t xml:space="preserve"> </w:t>
      </w:r>
      <w:r w:rsidR="009A5FE6" w:rsidRPr="003041AF">
        <w:rPr>
          <w:lang w:val="en-GB"/>
        </w:rPr>
        <w:t>June</w:t>
      </w:r>
      <w:r w:rsidR="0016154E" w:rsidRPr="003041AF">
        <w:rPr>
          <w:lang w:val="en-GB"/>
        </w:rPr>
        <w:t xml:space="preserve"> 201</w:t>
      </w:r>
      <w:r w:rsidR="009A5FE6" w:rsidRPr="003041AF">
        <w:rPr>
          <w:lang w:val="en-GB"/>
        </w:rPr>
        <w:t>1</w:t>
      </w:r>
      <w:r w:rsidR="009F2F33" w:rsidRPr="003041AF">
        <w:rPr>
          <w:lang w:val="en-GB"/>
        </w:rPr>
        <w:t>, the SRSG provided UNMIK’s response</w:t>
      </w:r>
      <w:r w:rsidR="002579EE" w:rsidRPr="003041AF">
        <w:rPr>
          <w:lang w:val="en-GB"/>
        </w:rPr>
        <w:t>.</w:t>
      </w:r>
    </w:p>
    <w:p w:rsidR="003041AF" w:rsidRDefault="003041AF" w:rsidP="003041AF">
      <w:pPr>
        <w:pStyle w:val="ListParagraph"/>
        <w:rPr>
          <w:lang w:val="en-GB"/>
        </w:rPr>
      </w:pPr>
    </w:p>
    <w:p w:rsidR="003041AF" w:rsidRPr="003041AF" w:rsidRDefault="003041AF" w:rsidP="00382CFB">
      <w:pPr>
        <w:pStyle w:val="Default"/>
        <w:numPr>
          <w:ilvl w:val="0"/>
          <w:numId w:val="6"/>
        </w:numPr>
        <w:jc w:val="both"/>
        <w:rPr>
          <w:lang w:val="en-GB"/>
        </w:rPr>
      </w:pPr>
      <w:r>
        <w:rPr>
          <w:lang w:val="en-GB"/>
        </w:rPr>
        <w:t>On 25 February 2013, the Panel requested UNMIK to confirm if the disclosure of files concerning the case could be considered final. On the same date, UNMIK submitted its response.</w:t>
      </w:r>
    </w:p>
    <w:p w:rsidR="002579EE" w:rsidRPr="00A25238" w:rsidRDefault="002579EE" w:rsidP="00EC64DD">
      <w:pPr>
        <w:pStyle w:val="ListParagraph"/>
        <w:tabs>
          <w:tab w:val="left" w:pos="360"/>
        </w:tabs>
        <w:ind w:left="360" w:hanging="360"/>
        <w:rPr>
          <w:lang w:val="en-GB"/>
        </w:rPr>
      </w:pPr>
    </w:p>
    <w:p w:rsidR="000D21A8" w:rsidRPr="00A25238" w:rsidRDefault="000D21A8" w:rsidP="00EC64DD">
      <w:pPr>
        <w:pStyle w:val="ListParagraph"/>
        <w:tabs>
          <w:tab w:val="left" w:pos="360"/>
        </w:tabs>
        <w:ind w:left="360" w:hanging="360"/>
        <w:rPr>
          <w:lang w:val="en-GB"/>
        </w:rPr>
      </w:pPr>
    </w:p>
    <w:p w:rsidR="007C65E0" w:rsidRPr="00A25238" w:rsidRDefault="007C65E0" w:rsidP="00EC64DD">
      <w:pPr>
        <w:numPr>
          <w:ilvl w:val="0"/>
          <w:numId w:val="2"/>
        </w:numPr>
        <w:tabs>
          <w:tab w:val="left" w:pos="360"/>
        </w:tabs>
        <w:suppressAutoHyphens/>
        <w:autoSpaceDE w:val="0"/>
        <w:ind w:left="360" w:hanging="360"/>
        <w:jc w:val="both"/>
        <w:rPr>
          <w:b/>
          <w:bCs/>
          <w:lang w:val="en-GB"/>
        </w:rPr>
      </w:pPr>
      <w:r w:rsidRPr="00A25238">
        <w:rPr>
          <w:b/>
          <w:bCs/>
          <w:lang w:val="en-GB"/>
        </w:rPr>
        <w:t>THE FACTS</w:t>
      </w:r>
    </w:p>
    <w:p w:rsidR="005B71F4" w:rsidRPr="00A25238" w:rsidRDefault="005B71F4" w:rsidP="00EC64DD">
      <w:pPr>
        <w:tabs>
          <w:tab w:val="left" w:pos="360"/>
        </w:tabs>
        <w:autoSpaceDE w:val="0"/>
        <w:ind w:left="360" w:hanging="360"/>
        <w:jc w:val="both"/>
        <w:rPr>
          <w:b/>
          <w:bCs/>
          <w:lang w:val="en-GB"/>
        </w:rPr>
      </w:pPr>
    </w:p>
    <w:p w:rsidR="005B71F4" w:rsidRPr="00A25238" w:rsidRDefault="005B71F4" w:rsidP="00EC64DD">
      <w:pPr>
        <w:numPr>
          <w:ilvl w:val="0"/>
          <w:numId w:val="15"/>
        </w:numPr>
        <w:tabs>
          <w:tab w:val="left" w:pos="360"/>
        </w:tabs>
        <w:contextualSpacing/>
        <w:jc w:val="both"/>
        <w:rPr>
          <w:b/>
          <w:lang w:val="en-GB"/>
        </w:rPr>
      </w:pPr>
      <w:r w:rsidRPr="00A25238">
        <w:rPr>
          <w:b/>
          <w:lang w:val="en-GB"/>
        </w:rPr>
        <w:t>General background</w:t>
      </w:r>
      <w:r w:rsidRPr="00A25238">
        <w:rPr>
          <w:rStyle w:val="FootnoteReference"/>
          <w:b/>
          <w:lang w:val="en-GB"/>
        </w:rPr>
        <w:footnoteReference w:id="2"/>
      </w:r>
      <w:r w:rsidRPr="00A25238">
        <w:rPr>
          <w:b/>
          <w:lang w:val="en-GB"/>
        </w:rPr>
        <w:t xml:space="preserve"> </w:t>
      </w:r>
    </w:p>
    <w:p w:rsidR="005B71F4" w:rsidRPr="00A25238" w:rsidRDefault="005B71F4" w:rsidP="00EC64DD">
      <w:pPr>
        <w:tabs>
          <w:tab w:val="left" w:pos="360"/>
        </w:tabs>
        <w:ind w:left="360" w:hanging="360"/>
        <w:contextualSpacing/>
        <w:jc w:val="both"/>
        <w:rPr>
          <w:b/>
          <w:lang w:val="en-GB"/>
        </w:rPr>
      </w:pPr>
    </w:p>
    <w:p w:rsidR="005B71F4" w:rsidRPr="00A840B5" w:rsidRDefault="00571486" w:rsidP="00A840B5">
      <w:pPr>
        <w:pStyle w:val="ListParagraph"/>
        <w:widowControl w:val="0"/>
        <w:numPr>
          <w:ilvl w:val="0"/>
          <w:numId w:val="6"/>
        </w:numPr>
        <w:tabs>
          <w:tab w:val="left" w:pos="1080"/>
        </w:tabs>
        <w:jc w:val="both"/>
        <w:rPr>
          <w:lang w:val="en-GB"/>
        </w:rPr>
      </w:pPr>
      <w:r w:rsidRPr="00A840B5">
        <w:rPr>
          <w:lang w:val="en-GB"/>
        </w:rPr>
        <w:t>The events at issue took place in the territory of Kosovo after the establishment of the United Nations Interim Administration Mission in Kosovo (UNMIK), in June 1999.</w:t>
      </w:r>
      <w:r w:rsidR="005B71F4" w:rsidRPr="00A840B5">
        <w:rPr>
          <w:lang w:val="en-GB"/>
        </w:rPr>
        <w:t xml:space="preserve"> </w:t>
      </w:r>
    </w:p>
    <w:p w:rsidR="005B71F4" w:rsidRPr="00A25238" w:rsidRDefault="005B71F4" w:rsidP="00EC64DD">
      <w:pPr>
        <w:tabs>
          <w:tab w:val="left" w:pos="360"/>
        </w:tabs>
        <w:ind w:left="360" w:hanging="360"/>
        <w:jc w:val="both"/>
        <w:rPr>
          <w:lang w:val="en-GB"/>
        </w:rPr>
      </w:pPr>
    </w:p>
    <w:p w:rsidR="005B71F4" w:rsidRPr="00A25238" w:rsidRDefault="00571486" w:rsidP="00A840B5">
      <w:pPr>
        <w:widowControl w:val="0"/>
        <w:numPr>
          <w:ilvl w:val="0"/>
          <w:numId w:val="6"/>
        </w:numPr>
        <w:tabs>
          <w:tab w:val="left" w:pos="1080"/>
        </w:tabs>
        <w:suppressAutoHyphens/>
        <w:jc w:val="both"/>
        <w:rPr>
          <w:lang w:val="en-GB"/>
        </w:rPr>
      </w:pPr>
      <w:r w:rsidRPr="00A5537A">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5B71F4" w:rsidRPr="00A25238" w:rsidRDefault="005B71F4" w:rsidP="00EC64DD">
      <w:pPr>
        <w:tabs>
          <w:tab w:val="left" w:pos="360"/>
        </w:tabs>
        <w:ind w:left="360" w:hanging="360"/>
        <w:jc w:val="both"/>
        <w:rPr>
          <w:lang w:val="en-GB"/>
        </w:rPr>
      </w:pPr>
    </w:p>
    <w:p w:rsidR="005B71F4" w:rsidRPr="00571486" w:rsidRDefault="00571486" w:rsidP="00A840B5">
      <w:pPr>
        <w:pStyle w:val="ListParagraph"/>
        <w:numPr>
          <w:ilvl w:val="0"/>
          <w:numId w:val="6"/>
        </w:numPr>
        <w:suppressAutoHyphens w:val="0"/>
        <w:contextualSpacing/>
        <w:jc w:val="both"/>
        <w:rPr>
          <w:lang w:val="en-GB"/>
        </w:rPr>
      </w:pPr>
      <w:r w:rsidRPr="00A5537A">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5B71F4" w:rsidRPr="00A25238" w:rsidRDefault="005B71F4" w:rsidP="00EC64DD">
      <w:pPr>
        <w:tabs>
          <w:tab w:val="left" w:pos="360"/>
        </w:tabs>
        <w:ind w:left="360" w:hanging="360"/>
        <w:jc w:val="both"/>
        <w:rPr>
          <w:lang w:val="en-GB"/>
        </w:rPr>
      </w:pPr>
    </w:p>
    <w:p w:rsidR="005B71F4" w:rsidRPr="00A25238" w:rsidRDefault="00571486" w:rsidP="00A840B5">
      <w:pPr>
        <w:pStyle w:val="ListParagraph"/>
        <w:numPr>
          <w:ilvl w:val="0"/>
          <w:numId w:val="6"/>
        </w:numPr>
        <w:suppressAutoHyphens w:val="0"/>
        <w:contextualSpacing/>
        <w:jc w:val="both"/>
        <w:rPr>
          <w:lang w:val="en-GB"/>
        </w:rPr>
      </w:pPr>
      <w:r w:rsidRPr="00A5537A">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r w:rsidR="005B71F4" w:rsidRPr="00A25238">
        <w:rPr>
          <w:lang w:val="en-GB"/>
        </w:rPr>
        <w:t xml:space="preserve"> </w:t>
      </w:r>
    </w:p>
    <w:p w:rsidR="005B71F4" w:rsidRPr="00A25238" w:rsidRDefault="005B71F4" w:rsidP="00EC64DD">
      <w:pPr>
        <w:pStyle w:val="ListParagraph"/>
        <w:tabs>
          <w:tab w:val="left" w:pos="360"/>
        </w:tabs>
        <w:ind w:left="360" w:hanging="360"/>
        <w:rPr>
          <w:lang w:val="en-GB"/>
        </w:rPr>
      </w:pPr>
    </w:p>
    <w:p w:rsidR="005B71F4" w:rsidRPr="00A25238" w:rsidRDefault="00571486" w:rsidP="00A840B5">
      <w:pPr>
        <w:pStyle w:val="ListParagraph"/>
        <w:numPr>
          <w:ilvl w:val="0"/>
          <w:numId w:val="6"/>
        </w:numPr>
        <w:suppressAutoHyphens w:val="0"/>
        <w:contextualSpacing/>
        <w:jc w:val="both"/>
        <w:rPr>
          <w:lang w:val="en-GB"/>
        </w:rPr>
      </w:pPr>
      <w:r w:rsidRPr="00A5537A">
        <w:rPr>
          <w:lang w:val="en-GB"/>
        </w:rPr>
        <w:t>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w:t>
      </w:r>
      <w:r w:rsidR="005B71F4" w:rsidRPr="00A25238">
        <w:rPr>
          <w:lang w:val="en-GB"/>
        </w:rPr>
        <w:t xml:space="preserve"> </w:t>
      </w:r>
    </w:p>
    <w:p w:rsidR="005B71F4" w:rsidRPr="00A25238" w:rsidRDefault="005B71F4" w:rsidP="00EC64DD">
      <w:pPr>
        <w:pStyle w:val="ListParagraph"/>
        <w:tabs>
          <w:tab w:val="left" w:pos="360"/>
        </w:tabs>
        <w:ind w:left="360" w:hanging="360"/>
        <w:rPr>
          <w:lang w:val="en-GB"/>
        </w:rPr>
      </w:pPr>
    </w:p>
    <w:p w:rsidR="005B71F4" w:rsidRPr="00A25238" w:rsidRDefault="00571486" w:rsidP="00A840B5">
      <w:pPr>
        <w:pStyle w:val="ListParagraph"/>
        <w:numPr>
          <w:ilvl w:val="0"/>
          <w:numId w:val="6"/>
        </w:numPr>
        <w:suppressAutoHyphens w:val="0"/>
        <w:contextualSpacing/>
        <w:jc w:val="both"/>
        <w:rPr>
          <w:lang w:val="en-GB"/>
        </w:rPr>
      </w:pPr>
      <w:r w:rsidRPr="00A5537A">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w:t>
      </w:r>
      <w:r w:rsidRPr="00A5537A">
        <w:t>of the Red Cross</w:t>
      </w:r>
      <w:r w:rsidRPr="00A5537A">
        <w:rPr>
          <w:lang w:val="en-GB"/>
        </w:rPr>
        <w:t xml:space="preserve"> (ICRC) as of October 2012.</w:t>
      </w:r>
    </w:p>
    <w:p w:rsidR="005B71F4" w:rsidRPr="00A25238" w:rsidRDefault="005B71F4" w:rsidP="00EC64DD">
      <w:pPr>
        <w:tabs>
          <w:tab w:val="left" w:pos="360"/>
        </w:tabs>
        <w:ind w:left="360" w:hanging="360"/>
        <w:jc w:val="both"/>
        <w:rPr>
          <w:lang w:val="en-GB"/>
        </w:rPr>
      </w:pPr>
    </w:p>
    <w:p w:rsidR="005B71F4" w:rsidRPr="00A25238" w:rsidRDefault="00571486" w:rsidP="00A840B5">
      <w:pPr>
        <w:numPr>
          <w:ilvl w:val="0"/>
          <w:numId w:val="6"/>
        </w:numPr>
        <w:jc w:val="both"/>
        <w:rPr>
          <w:lang w:val="en-GB"/>
        </w:rPr>
      </w:pPr>
      <w:r w:rsidRPr="00A5537A">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w:t>
      </w:r>
      <w:r w:rsidRPr="00A5537A">
        <w:t xml:space="preserve"> By September 1999, approximately 1,100 international police officers had been deployed to UNMIK.</w:t>
      </w:r>
      <w:r w:rsidR="006906A3" w:rsidRPr="00A25238">
        <w:rPr>
          <w:lang w:val="en-GB"/>
        </w:rPr>
        <w:t xml:space="preserve">  </w:t>
      </w:r>
    </w:p>
    <w:p w:rsidR="005B71F4" w:rsidRPr="00A25238" w:rsidRDefault="005B71F4" w:rsidP="00EC64DD">
      <w:pPr>
        <w:pStyle w:val="ListParagraph"/>
        <w:tabs>
          <w:tab w:val="left" w:pos="360"/>
        </w:tabs>
        <w:ind w:left="360" w:hanging="360"/>
        <w:rPr>
          <w:lang w:val="en-GB"/>
        </w:rPr>
      </w:pPr>
    </w:p>
    <w:p w:rsidR="005B71F4" w:rsidRPr="00A25238" w:rsidRDefault="00571486" w:rsidP="00A840B5">
      <w:pPr>
        <w:numPr>
          <w:ilvl w:val="0"/>
          <w:numId w:val="6"/>
        </w:numPr>
        <w:jc w:val="both"/>
        <w:rPr>
          <w:lang w:val="en-GB"/>
        </w:rPr>
      </w:pPr>
      <w:bookmarkStart w:id="0" w:name="_Ref346725038"/>
      <w:r w:rsidRPr="00A5537A">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0"/>
      <w:r w:rsidR="005B71F4" w:rsidRPr="00A25238">
        <w:rPr>
          <w:lang w:val="en-GB"/>
        </w:rPr>
        <w:t xml:space="preserve"> </w:t>
      </w:r>
    </w:p>
    <w:p w:rsidR="005B71F4" w:rsidRPr="00A25238" w:rsidRDefault="005B71F4" w:rsidP="00EC64DD">
      <w:pPr>
        <w:tabs>
          <w:tab w:val="left" w:pos="360"/>
        </w:tabs>
        <w:ind w:left="360" w:hanging="360"/>
        <w:jc w:val="both"/>
        <w:rPr>
          <w:lang w:val="en-GB"/>
        </w:rPr>
      </w:pPr>
    </w:p>
    <w:p w:rsidR="005B71F4" w:rsidRPr="00A25238" w:rsidRDefault="00571486" w:rsidP="00A840B5">
      <w:pPr>
        <w:numPr>
          <w:ilvl w:val="0"/>
          <w:numId w:val="6"/>
        </w:numPr>
        <w:jc w:val="both"/>
        <w:rPr>
          <w:lang w:val="en-GB"/>
        </w:rPr>
      </w:pPr>
      <w:bookmarkStart w:id="1" w:name="_Ref346123767"/>
      <w:r w:rsidRPr="00A5537A">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1"/>
      <w:r w:rsidR="005B71F4" w:rsidRPr="00A25238">
        <w:rPr>
          <w:lang w:val="en-GB"/>
        </w:rPr>
        <w:t xml:space="preserve"> </w:t>
      </w:r>
    </w:p>
    <w:p w:rsidR="005B71F4" w:rsidRPr="00A25238" w:rsidRDefault="005B71F4" w:rsidP="00EC64DD">
      <w:pPr>
        <w:tabs>
          <w:tab w:val="left" w:pos="360"/>
        </w:tabs>
        <w:ind w:left="360" w:hanging="360"/>
        <w:jc w:val="both"/>
        <w:rPr>
          <w:lang w:val="en-GB"/>
        </w:rPr>
      </w:pPr>
    </w:p>
    <w:p w:rsidR="005B71F4" w:rsidRPr="00A25238" w:rsidRDefault="00571486" w:rsidP="00A840B5">
      <w:pPr>
        <w:numPr>
          <w:ilvl w:val="0"/>
          <w:numId w:val="6"/>
        </w:numPr>
        <w:jc w:val="both"/>
        <w:rPr>
          <w:lang w:val="en-GB"/>
        </w:rPr>
      </w:pPr>
      <w:bookmarkStart w:id="2" w:name="_Ref346725040"/>
      <w:r w:rsidRPr="00A5537A">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2"/>
      <w:r w:rsidR="005B71F4" w:rsidRPr="00A25238">
        <w:rPr>
          <w:lang w:val="en-GB"/>
        </w:rPr>
        <w:t xml:space="preserve"> </w:t>
      </w:r>
    </w:p>
    <w:p w:rsidR="005B71F4" w:rsidRPr="00A25238" w:rsidRDefault="005B71F4" w:rsidP="00EC64DD">
      <w:pPr>
        <w:tabs>
          <w:tab w:val="left" w:pos="360"/>
        </w:tabs>
        <w:ind w:left="360" w:hanging="360"/>
        <w:jc w:val="both"/>
        <w:rPr>
          <w:lang w:val="en-GB"/>
        </w:rPr>
      </w:pPr>
    </w:p>
    <w:p w:rsidR="005B71F4" w:rsidRPr="00A25238" w:rsidRDefault="00571486" w:rsidP="00A840B5">
      <w:pPr>
        <w:numPr>
          <w:ilvl w:val="0"/>
          <w:numId w:val="6"/>
        </w:numPr>
        <w:jc w:val="both"/>
        <w:rPr>
          <w:lang w:val="en-GB"/>
        </w:rPr>
      </w:pPr>
      <w:bookmarkStart w:id="3" w:name="_Ref346123927"/>
      <w:r w:rsidRPr="00A5537A">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3"/>
    </w:p>
    <w:p w:rsidR="005B71F4" w:rsidRPr="00A25238" w:rsidRDefault="005B71F4" w:rsidP="00EC64DD">
      <w:pPr>
        <w:pStyle w:val="ListParagraph"/>
        <w:tabs>
          <w:tab w:val="left" w:pos="360"/>
        </w:tabs>
        <w:ind w:left="360" w:hanging="360"/>
        <w:rPr>
          <w:lang w:val="en-GB"/>
        </w:rPr>
      </w:pPr>
    </w:p>
    <w:p w:rsidR="00571486" w:rsidRPr="00A5537A" w:rsidRDefault="00571486" w:rsidP="00A840B5">
      <w:pPr>
        <w:numPr>
          <w:ilvl w:val="0"/>
          <w:numId w:val="6"/>
        </w:numPr>
        <w:jc w:val="both"/>
        <w:rPr>
          <w:lang w:val="en-GB"/>
        </w:rPr>
      </w:pPr>
      <w:bookmarkStart w:id="4" w:name="_Ref346123928"/>
      <w:r w:rsidRPr="00A5537A">
        <w:rPr>
          <w:lang w:val="en-GB"/>
        </w:rPr>
        <w:t>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4"/>
    </w:p>
    <w:p w:rsidR="00D65E11" w:rsidRPr="00A25238" w:rsidRDefault="00D65E11" w:rsidP="00EC64DD">
      <w:pPr>
        <w:widowControl w:val="0"/>
        <w:tabs>
          <w:tab w:val="left" w:pos="360"/>
          <w:tab w:val="left" w:pos="1080"/>
        </w:tabs>
        <w:suppressAutoHyphens/>
        <w:ind w:left="360" w:hanging="360"/>
        <w:jc w:val="both"/>
        <w:rPr>
          <w:lang w:val="en-GB"/>
        </w:rPr>
      </w:pPr>
    </w:p>
    <w:p w:rsidR="00D65E11" w:rsidRPr="00A25238" w:rsidRDefault="00D65E11" w:rsidP="00EC64DD">
      <w:pPr>
        <w:numPr>
          <w:ilvl w:val="0"/>
          <w:numId w:val="15"/>
        </w:numPr>
        <w:tabs>
          <w:tab w:val="left" w:pos="360"/>
        </w:tabs>
        <w:contextualSpacing/>
        <w:jc w:val="both"/>
        <w:rPr>
          <w:b/>
          <w:lang w:val="en-GB"/>
        </w:rPr>
      </w:pPr>
      <w:r w:rsidRPr="00A25238">
        <w:rPr>
          <w:b/>
          <w:lang w:val="en-GB"/>
        </w:rPr>
        <w:t xml:space="preserve">Circumstances surrounding the </w:t>
      </w:r>
      <w:r w:rsidR="006C7219" w:rsidRPr="00A25238">
        <w:rPr>
          <w:b/>
          <w:lang w:val="en-GB"/>
        </w:rPr>
        <w:t>disappearance</w:t>
      </w:r>
      <w:r w:rsidRPr="00A25238">
        <w:rPr>
          <w:b/>
          <w:lang w:val="en-GB"/>
        </w:rPr>
        <w:t xml:space="preserve"> and </w:t>
      </w:r>
      <w:r w:rsidR="00A04061">
        <w:rPr>
          <w:b/>
          <w:lang w:val="en-GB"/>
        </w:rPr>
        <w:t>killing</w:t>
      </w:r>
      <w:r w:rsidRPr="00A25238">
        <w:rPr>
          <w:b/>
          <w:lang w:val="en-GB"/>
        </w:rPr>
        <w:t xml:space="preserve"> of </w:t>
      </w:r>
      <w:r w:rsidR="009A5FE6" w:rsidRPr="00A25238">
        <w:rPr>
          <w:b/>
          <w:lang w:val="en-GB"/>
        </w:rPr>
        <w:t>Mr Zoran Nedeljković</w:t>
      </w:r>
      <w:r w:rsidRPr="00A25238">
        <w:rPr>
          <w:b/>
          <w:lang w:val="en-GB"/>
        </w:rPr>
        <w:t xml:space="preserve"> </w:t>
      </w:r>
      <w:r w:rsidR="00E50312" w:rsidRPr="00A25238">
        <w:rPr>
          <w:b/>
          <w:lang w:val="en-GB"/>
        </w:rPr>
        <w:t xml:space="preserve"> </w:t>
      </w:r>
    </w:p>
    <w:p w:rsidR="001A08B0" w:rsidRPr="00A25238" w:rsidRDefault="001A08B0" w:rsidP="00EC64DD">
      <w:pPr>
        <w:tabs>
          <w:tab w:val="left" w:pos="360"/>
        </w:tabs>
        <w:suppressAutoHyphens/>
        <w:autoSpaceDE w:val="0"/>
        <w:ind w:left="360" w:hanging="360"/>
        <w:jc w:val="both"/>
        <w:rPr>
          <w:bCs/>
          <w:lang w:val="en-GB"/>
        </w:rPr>
      </w:pPr>
    </w:p>
    <w:p w:rsidR="009A5FE6" w:rsidRPr="003041AF" w:rsidRDefault="009A5FE6" w:rsidP="009A5FE6">
      <w:pPr>
        <w:numPr>
          <w:ilvl w:val="0"/>
          <w:numId w:val="6"/>
        </w:numPr>
        <w:jc w:val="both"/>
        <w:rPr>
          <w:lang w:val="en-GB"/>
        </w:rPr>
      </w:pPr>
      <w:r w:rsidRPr="003041AF">
        <w:rPr>
          <w:lang w:val="en-GB"/>
        </w:rPr>
        <w:t xml:space="preserve">The complainant states that on 20 August 1999 her husband, Zoran Nedeljković left his home in Prishtinë/Priština to go to work. He never returned. </w:t>
      </w:r>
    </w:p>
    <w:p w:rsidR="009A5FE6" w:rsidRPr="003041AF" w:rsidRDefault="009A5FE6" w:rsidP="009A5FE6">
      <w:pPr>
        <w:ind w:left="360"/>
        <w:jc w:val="both"/>
        <w:rPr>
          <w:lang w:val="en-GB"/>
        </w:rPr>
      </w:pPr>
    </w:p>
    <w:p w:rsidR="009A5FE6" w:rsidRPr="003041AF" w:rsidRDefault="009A5FE6" w:rsidP="009A5FE6">
      <w:pPr>
        <w:numPr>
          <w:ilvl w:val="0"/>
          <w:numId w:val="6"/>
        </w:numPr>
        <w:jc w:val="both"/>
        <w:rPr>
          <w:lang w:val="en-GB"/>
        </w:rPr>
      </w:pPr>
      <w:r w:rsidRPr="003041AF">
        <w:rPr>
          <w:lang w:val="en-GB"/>
        </w:rPr>
        <w:t xml:space="preserve">The complainant attaches a certificate from the </w:t>
      </w:r>
      <w:r w:rsidR="003041AF">
        <w:rPr>
          <w:lang w:val="en-GB"/>
        </w:rPr>
        <w:t>ICRC</w:t>
      </w:r>
      <w:r w:rsidRPr="003041AF">
        <w:rPr>
          <w:lang w:val="en-GB"/>
        </w:rPr>
        <w:t xml:space="preserve"> indicating that it opened a tracing request for Mr Nedeljković in September 1999. </w:t>
      </w:r>
    </w:p>
    <w:p w:rsidR="009A5FE6" w:rsidRPr="003041AF" w:rsidRDefault="009A5FE6" w:rsidP="009A5FE6">
      <w:pPr>
        <w:ind w:left="360"/>
        <w:jc w:val="both"/>
        <w:rPr>
          <w:lang w:val="en-GB"/>
        </w:rPr>
      </w:pPr>
    </w:p>
    <w:p w:rsidR="009A5FE6" w:rsidRPr="003041AF" w:rsidRDefault="009A5FE6" w:rsidP="009A5FE6">
      <w:pPr>
        <w:numPr>
          <w:ilvl w:val="0"/>
          <w:numId w:val="6"/>
        </w:numPr>
        <w:jc w:val="both"/>
        <w:rPr>
          <w:lang w:val="en-GB"/>
        </w:rPr>
      </w:pPr>
      <w:r w:rsidRPr="003041AF">
        <w:rPr>
          <w:lang w:val="en-GB"/>
        </w:rPr>
        <w:t xml:space="preserve">According to a death certificate produced by UNMIK OMPF, the mortal remains of </w:t>
      </w:r>
      <w:r w:rsidR="00571486" w:rsidRPr="003041AF">
        <w:rPr>
          <w:lang w:val="en-GB"/>
        </w:rPr>
        <w:t xml:space="preserve">Zoran </w:t>
      </w:r>
      <w:r w:rsidRPr="003041AF">
        <w:rPr>
          <w:lang w:val="en-GB"/>
        </w:rPr>
        <w:t xml:space="preserve">Nedeljković were located on 29 April 2003 in the village of Grashticë/Graštica in Prishtinë/Priština Municipality. On 17 December 2003, </w:t>
      </w:r>
      <w:r w:rsidR="00051208" w:rsidRPr="003041AF">
        <w:rPr>
          <w:lang w:val="en-GB"/>
        </w:rPr>
        <w:t xml:space="preserve">the </w:t>
      </w:r>
      <w:r w:rsidRPr="003041AF">
        <w:rPr>
          <w:lang w:val="en-GB"/>
        </w:rPr>
        <w:t xml:space="preserve">UNMIK OMPF conducted an autopsy on the mortal remains and determined that the cause of death was gunshot injuries to the head. </w:t>
      </w:r>
    </w:p>
    <w:p w:rsidR="009A5FE6" w:rsidRPr="003041AF" w:rsidRDefault="009A5FE6" w:rsidP="009A5FE6">
      <w:pPr>
        <w:ind w:left="360"/>
        <w:jc w:val="both"/>
        <w:rPr>
          <w:lang w:val="en-GB"/>
        </w:rPr>
      </w:pPr>
    </w:p>
    <w:p w:rsidR="009A5FE6" w:rsidRPr="003041AF" w:rsidRDefault="009A5FE6" w:rsidP="009A5FE6">
      <w:pPr>
        <w:numPr>
          <w:ilvl w:val="0"/>
          <w:numId w:val="6"/>
        </w:numPr>
        <w:jc w:val="both"/>
        <w:rPr>
          <w:lang w:val="en-GB"/>
        </w:rPr>
      </w:pPr>
      <w:r w:rsidRPr="003041AF">
        <w:rPr>
          <w:lang w:val="en-GB"/>
        </w:rPr>
        <w:t xml:space="preserve">By 22 October 2004, the mortal remains were positively identified as belonging to Zoran Nedeljković. On 21 December 2004, </w:t>
      </w:r>
      <w:r w:rsidR="00051208" w:rsidRPr="003041AF">
        <w:rPr>
          <w:lang w:val="en-GB"/>
        </w:rPr>
        <w:t xml:space="preserve">the </w:t>
      </w:r>
      <w:r w:rsidRPr="003041AF">
        <w:rPr>
          <w:lang w:val="en-GB"/>
        </w:rPr>
        <w:t xml:space="preserve">UNMIK OMPF returned the </w:t>
      </w:r>
      <w:r w:rsidR="00051208" w:rsidRPr="003041AF">
        <w:rPr>
          <w:lang w:val="en-GB"/>
        </w:rPr>
        <w:t>mortal remains</w:t>
      </w:r>
      <w:r w:rsidRPr="003041AF">
        <w:rPr>
          <w:lang w:val="en-GB"/>
        </w:rPr>
        <w:t xml:space="preserve"> of </w:t>
      </w:r>
      <w:r w:rsidR="00571486" w:rsidRPr="003041AF">
        <w:rPr>
          <w:lang w:val="en-GB"/>
        </w:rPr>
        <w:t xml:space="preserve">Zoran </w:t>
      </w:r>
      <w:r w:rsidRPr="003041AF">
        <w:rPr>
          <w:lang w:val="en-GB"/>
        </w:rPr>
        <w:t xml:space="preserve">Nedeljković to the complainant. </w:t>
      </w:r>
    </w:p>
    <w:p w:rsidR="000B5C31" w:rsidRPr="00A25238" w:rsidRDefault="000B5C31" w:rsidP="00EC64DD">
      <w:pPr>
        <w:tabs>
          <w:tab w:val="left" w:pos="360"/>
        </w:tabs>
        <w:ind w:left="360" w:hanging="360"/>
        <w:jc w:val="both"/>
        <w:rPr>
          <w:lang w:val="en-GB"/>
        </w:rPr>
      </w:pPr>
    </w:p>
    <w:p w:rsidR="002579EE" w:rsidRPr="00A25238" w:rsidRDefault="002579EE" w:rsidP="00EC64DD">
      <w:pPr>
        <w:numPr>
          <w:ilvl w:val="0"/>
          <w:numId w:val="15"/>
        </w:numPr>
        <w:tabs>
          <w:tab w:val="left" w:pos="360"/>
        </w:tabs>
        <w:contextualSpacing/>
        <w:jc w:val="both"/>
        <w:rPr>
          <w:b/>
          <w:lang w:val="en-GB"/>
        </w:rPr>
      </w:pPr>
      <w:r w:rsidRPr="00A25238">
        <w:rPr>
          <w:b/>
          <w:lang w:val="en-GB"/>
        </w:rPr>
        <w:t>The Investigation</w:t>
      </w:r>
    </w:p>
    <w:p w:rsidR="002579EE" w:rsidRPr="00A25238" w:rsidRDefault="002579EE" w:rsidP="00EC64DD">
      <w:pPr>
        <w:pStyle w:val="Default"/>
        <w:tabs>
          <w:tab w:val="left" w:pos="360"/>
        </w:tabs>
        <w:suppressAutoHyphens/>
        <w:ind w:left="360" w:hanging="360"/>
        <w:jc w:val="both"/>
        <w:rPr>
          <w:bCs/>
          <w:i/>
          <w:lang w:val="en-GB"/>
        </w:rPr>
      </w:pPr>
    </w:p>
    <w:p w:rsidR="00BB6E48" w:rsidRPr="003041AF" w:rsidRDefault="009A5FE6" w:rsidP="00376878">
      <w:pPr>
        <w:pStyle w:val="ListParagraph"/>
        <w:numPr>
          <w:ilvl w:val="0"/>
          <w:numId w:val="6"/>
        </w:numPr>
        <w:jc w:val="both"/>
        <w:rPr>
          <w:lang w:val="en-GB"/>
        </w:rPr>
      </w:pPr>
      <w:r w:rsidRPr="003041AF">
        <w:rPr>
          <w:lang w:val="en-GB"/>
        </w:rPr>
        <w:t>In the present case, the Panel r</w:t>
      </w:r>
      <w:r w:rsidR="00051208" w:rsidRPr="003041AF">
        <w:rPr>
          <w:lang w:val="en-GB"/>
        </w:rPr>
        <w:t>eceived from UNMIK investigative</w:t>
      </w:r>
      <w:r w:rsidRPr="003041AF">
        <w:rPr>
          <w:lang w:val="en-GB"/>
        </w:rPr>
        <w:t xml:space="preserve"> documents previously held by the UNMIK OMPF.</w:t>
      </w:r>
      <w:r w:rsidR="00D5327B" w:rsidRPr="00D5327B">
        <w:rPr>
          <w:lang w:val="en-GB"/>
        </w:rPr>
        <w:t xml:space="preserve"> </w:t>
      </w:r>
      <w:r w:rsidR="00D5327B" w:rsidRPr="000C1680">
        <w:rPr>
          <w:lang w:val="en-GB"/>
        </w:rPr>
        <w:t xml:space="preserve">The file as presented relates only to the identification and return of the mortal remains of </w:t>
      </w:r>
      <w:r w:rsidR="00D5327B" w:rsidRPr="003041AF">
        <w:rPr>
          <w:lang w:val="en-GB"/>
        </w:rPr>
        <w:t>Zoran Nedeljković</w:t>
      </w:r>
      <w:r w:rsidR="00D5327B" w:rsidRPr="000C1680">
        <w:rPr>
          <w:lang w:val="en-GB"/>
        </w:rPr>
        <w:t xml:space="preserve">. No additional investigative material regarding the criminal investigation following the return of </w:t>
      </w:r>
      <w:r w:rsidR="00D5327B" w:rsidRPr="003041AF">
        <w:rPr>
          <w:lang w:val="en-GB"/>
        </w:rPr>
        <w:t>Zoran Nedeljković</w:t>
      </w:r>
      <w:r w:rsidR="00D5327B" w:rsidRPr="000C1680">
        <w:rPr>
          <w:lang w:val="en-GB"/>
        </w:rPr>
        <w:t>’s mortal remains was presented to the Panel by UNMIK.</w:t>
      </w:r>
    </w:p>
    <w:p w:rsidR="00376878" w:rsidRPr="003041AF" w:rsidRDefault="00376878" w:rsidP="00376878">
      <w:pPr>
        <w:pStyle w:val="ListParagraph"/>
        <w:ind w:left="360"/>
        <w:jc w:val="both"/>
        <w:rPr>
          <w:lang w:val="en-GB"/>
        </w:rPr>
      </w:pPr>
    </w:p>
    <w:p w:rsidR="00293B0E" w:rsidRPr="000C1680" w:rsidRDefault="00293B0E" w:rsidP="00293B0E">
      <w:pPr>
        <w:pStyle w:val="ListParagraph"/>
        <w:numPr>
          <w:ilvl w:val="0"/>
          <w:numId w:val="6"/>
        </w:numPr>
        <w:suppressAutoHyphens w:val="0"/>
        <w:contextualSpacing/>
        <w:jc w:val="both"/>
        <w:rPr>
          <w:lang w:val="en-GB"/>
        </w:rPr>
      </w:pPr>
      <w:r w:rsidRPr="000C1680">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376878" w:rsidRPr="003041AF" w:rsidRDefault="00376878" w:rsidP="00376878">
      <w:pPr>
        <w:pStyle w:val="ListParagraph"/>
        <w:suppressAutoHyphens w:val="0"/>
        <w:ind w:left="0"/>
        <w:contextualSpacing/>
        <w:jc w:val="both"/>
        <w:rPr>
          <w:lang w:val="en-GB"/>
        </w:rPr>
      </w:pPr>
    </w:p>
    <w:p w:rsidR="00A25238" w:rsidRPr="003041AF" w:rsidRDefault="001D18CE" w:rsidP="00A25238">
      <w:pPr>
        <w:pStyle w:val="ListParagraph"/>
        <w:numPr>
          <w:ilvl w:val="0"/>
          <w:numId w:val="6"/>
        </w:numPr>
        <w:jc w:val="both"/>
        <w:rPr>
          <w:lang w:val="en-GB"/>
        </w:rPr>
      </w:pPr>
      <w:r w:rsidRPr="003041AF">
        <w:rPr>
          <w:color w:val="000000"/>
          <w:lang w:val="en-GB"/>
        </w:rPr>
        <w:t xml:space="preserve">It appears unclear what initial steps were taken after the first reporting of the </w:t>
      </w:r>
      <w:r w:rsidR="00571486" w:rsidRPr="003041AF">
        <w:rPr>
          <w:color w:val="000000"/>
          <w:lang w:val="en-GB"/>
        </w:rPr>
        <w:t>disappearance</w:t>
      </w:r>
      <w:r w:rsidRPr="003041AF">
        <w:rPr>
          <w:color w:val="000000"/>
          <w:lang w:val="en-GB"/>
        </w:rPr>
        <w:t xml:space="preserve"> of </w:t>
      </w:r>
      <w:r w:rsidRPr="003041AF">
        <w:rPr>
          <w:lang w:val="en-GB"/>
        </w:rPr>
        <w:t xml:space="preserve">Zoran Nedeljković </w:t>
      </w:r>
      <w:r w:rsidRPr="003041AF">
        <w:rPr>
          <w:color w:val="000000"/>
          <w:lang w:val="en-GB"/>
        </w:rPr>
        <w:t xml:space="preserve">in </w:t>
      </w:r>
      <w:r w:rsidR="008E1517" w:rsidRPr="003041AF">
        <w:rPr>
          <w:color w:val="000000"/>
          <w:lang w:val="en-GB"/>
        </w:rPr>
        <w:t xml:space="preserve">August </w:t>
      </w:r>
      <w:r w:rsidRPr="003041AF">
        <w:rPr>
          <w:color w:val="000000"/>
          <w:lang w:val="en-GB"/>
        </w:rPr>
        <w:t>1999. A</w:t>
      </w:r>
      <w:r w:rsidR="00571486" w:rsidRPr="003041AF">
        <w:rPr>
          <w:color w:val="000000"/>
          <w:lang w:val="en-GB"/>
        </w:rPr>
        <w:t>n undated</w:t>
      </w:r>
      <w:r w:rsidRPr="003041AF">
        <w:rPr>
          <w:color w:val="000000"/>
          <w:lang w:val="en-GB"/>
        </w:rPr>
        <w:t xml:space="preserve"> Victim Identification Form appears</w:t>
      </w:r>
      <w:r w:rsidR="00571486" w:rsidRPr="003041AF">
        <w:rPr>
          <w:color w:val="000000"/>
          <w:lang w:val="en-GB"/>
        </w:rPr>
        <w:t xml:space="preserve"> in the file which seems to have been </w:t>
      </w:r>
      <w:r w:rsidRPr="003041AF">
        <w:rPr>
          <w:color w:val="000000"/>
          <w:lang w:val="en-GB"/>
        </w:rPr>
        <w:t xml:space="preserve">completed from information given by the mother of </w:t>
      </w:r>
      <w:r w:rsidR="00EB0617" w:rsidRPr="003041AF">
        <w:rPr>
          <w:lang w:val="en-GB"/>
        </w:rPr>
        <w:t>Zoran Nedeljković</w:t>
      </w:r>
      <w:r w:rsidR="00571486" w:rsidRPr="003041AF">
        <w:rPr>
          <w:lang w:val="en-GB"/>
        </w:rPr>
        <w:t>.</w:t>
      </w:r>
    </w:p>
    <w:p w:rsidR="00A25238" w:rsidRDefault="00A25238" w:rsidP="00A25238">
      <w:pPr>
        <w:pStyle w:val="ListParagraph"/>
        <w:rPr>
          <w:color w:val="000000"/>
          <w:highlight w:val="yellow"/>
          <w:lang w:val="en-GB"/>
        </w:rPr>
      </w:pPr>
    </w:p>
    <w:p w:rsidR="00B30581" w:rsidRPr="003041AF" w:rsidRDefault="00B30581" w:rsidP="00A25238">
      <w:pPr>
        <w:pStyle w:val="ListParagraph"/>
        <w:numPr>
          <w:ilvl w:val="0"/>
          <w:numId w:val="6"/>
        </w:numPr>
        <w:jc w:val="both"/>
        <w:rPr>
          <w:lang w:val="en-GB"/>
        </w:rPr>
      </w:pPr>
      <w:r w:rsidRPr="003041AF">
        <w:rPr>
          <w:color w:val="000000"/>
        </w:rPr>
        <w:t>On 6 February 2000</w:t>
      </w:r>
      <w:r w:rsidR="00A840B5" w:rsidRPr="003041AF">
        <w:rPr>
          <w:color w:val="000000"/>
        </w:rPr>
        <w:t>,</w:t>
      </w:r>
      <w:r w:rsidRPr="003041AF">
        <w:rPr>
          <w:color w:val="000000"/>
        </w:rPr>
        <w:t xml:space="preserve"> the investigative file indicates that </w:t>
      </w:r>
      <w:r w:rsidRPr="003041AF">
        <w:t xml:space="preserve">UNMIK MPU, </w:t>
      </w:r>
      <w:r w:rsidRPr="003041AF">
        <w:rPr>
          <w:iCs/>
        </w:rPr>
        <w:t>Prishtinë/Priština,</w:t>
      </w:r>
      <w:r w:rsidRPr="003041AF">
        <w:t xml:space="preserve"> issued a memorandum to the CCIU,</w:t>
      </w:r>
      <w:r w:rsidRPr="003041AF">
        <w:rPr>
          <w:color w:val="000000"/>
        </w:rPr>
        <w:t xml:space="preserve"> Chief Border Police</w:t>
      </w:r>
      <w:r w:rsidRPr="003041AF">
        <w:t>,</w:t>
      </w:r>
      <w:r w:rsidRPr="003041AF">
        <w:rPr>
          <w:color w:val="000000"/>
        </w:rPr>
        <w:t xml:space="preserve"> UNMIK Police Commanders of </w:t>
      </w:r>
      <w:r w:rsidRPr="003041AF">
        <w:rPr>
          <w:iCs/>
        </w:rPr>
        <w:t>Prishtinë/Priština</w:t>
      </w:r>
      <w:r w:rsidRPr="003041AF">
        <w:t>, Prizren, Pejë/Peć and Gjilan/</w:t>
      </w:r>
      <w:r w:rsidRPr="003041AF">
        <w:rPr>
          <w:color w:val="000000"/>
        </w:rPr>
        <w:t xml:space="preserve"> Gnjilane</w:t>
      </w:r>
      <w:r w:rsidR="00051208" w:rsidRPr="003041AF">
        <w:rPr>
          <w:color w:val="000000"/>
        </w:rPr>
        <w:t xml:space="preserve"> regions</w:t>
      </w:r>
      <w:r w:rsidRPr="003041AF">
        <w:rPr>
          <w:color w:val="000000"/>
        </w:rPr>
        <w:t xml:space="preserve"> and KFOR in relation to </w:t>
      </w:r>
      <w:r w:rsidRPr="003041AF">
        <w:rPr>
          <w:lang w:val="en-GB"/>
        </w:rPr>
        <w:t>Zoran Nedeljković</w:t>
      </w:r>
      <w:r w:rsidR="00051208" w:rsidRPr="003041AF">
        <w:t>. It requested</w:t>
      </w:r>
      <w:r w:rsidRPr="003041AF">
        <w:t xml:space="preserve"> them to check their records and sources in an attempt to gather additional information on the whereabouts of </w:t>
      </w:r>
      <w:r w:rsidRPr="003041AF">
        <w:rPr>
          <w:lang w:val="en-GB"/>
        </w:rPr>
        <w:t>Zoran Nedeljković</w:t>
      </w:r>
      <w:r w:rsidRPr="003041AF">
        <w:t>. In addition, the memorandum required the regional commands to “follow any avenues of investigation that are subsequently identified”. Such investigative activity, if resulting in a positive outcome, was then to be followed by monthly updates regarding progress.</w:t>
      </w:r>
    </w:p>
    <w:p w:rsidR="00B30581" w:rsidRDefault="00B30581" w:rsidP="00B30581">
      <w:pPr>
        <w:pStyle w:val="ListParagraph"/>
        <w:rPr>
          <w:color w:val="000000"/>
          <w:highlight w:val="yellow"/>
          <w:lang w:val="en-GB"/>
        </w:rPr>
      </w:pPr>
    </w:p>
    <w:p w:rsidR="00B30581" w:rsidRPr="00293B0E" w:rsidRDefault="00051208" w:rsidP="00A25238">
      <w:pPr>
        <w:pStyle w:val="ListParagraph"/>
        <w:numPr>
          <w:ilvl w:val="0"/>
          <w:numId w:val="6"/>
        </w:numPr>
        <w:jc w:val="both"/>
        <w:rPr>
          <w:lang w:val="en-GB"/>
        </w:rPr>
      </w:pPr>
      <w:r w:rsidRPr="00293B0E">
        <w:rPr>
          <w:color w:val="000000"/>
          <w:lang w:val="en-GB"/>
        </w:rPr>
        <w:t>T</w:t>
      </w:r>
      <w:r w:rsidR="001D18CE" w:rsidRPr="00293B0E">
        <w:rPr>
          <w:color w:val="000000"/>
          <w:lang w:val="en-GB"/>
        </w:rPr>
        <w:t xml:space="preserve">he investigative file indicates that </w:t>
      </w:r>
      <w:r w:rsidR="003041AF" w:rsidRPr="00293B0E">
        <w:rPr>
          <w:color w:val="000000"/>
          <w:lang w:val="en-GB"/>
        </w:rPr>
        <w:t xml:space="preserve">on 25 March 2000, </w:t>
      </w:r>
      <w:r w:rsidR="001D18CE" w:rsidRPr="00293B0E">
        <w:rPr>
          <w:lang w:val="en-GB"/>
        </w:rPr>
        <w:t>UNMIK Police issued a memorandum</w:t>
      </w:r>
      <w:r w:rsidRPr="00293B0E">
        <w:rPr>
          <w:lang w:val="en-GB"/>
        </w:rPr>
        <w:t xml:space="preserve"> </w:t>
      </w:r>
      <w:r w:rsidR="001D18CE" w:rsidRPr="00293B0E">
        <w:rPr>
          <w:lang w:val="en-GB"/>
        </w:rPr>
        <w:t xml:space="preserve">to UNMIK Border Detachment Commanders </w:t>
      </w:r>
      <w:r w:rsidRPr="00293B0E">
        <w:rPr>
          <w:lang w:val="en-GB"/>
        </w:rPr>
        <w:t xml:space="preserve">requesting </w:t>
      </w:r>
      <w:r w:rsidR="001D18CE" w:rsidRPr="00293B0E">
        <w:rPr>
          <w:lang w:val="en-GB"/>
        </w:rPr>
        <w:t xml:space="preserve">them to check their records </w:t>
      </w:r>
      <w:r w:rsidR="00A25238" w:rsidRPr="00293B0E">
        <w:rPr>
          <w:lang w:val="en-GB"/>
        </w:rPr>
        <w:t>to review whe</w:t>
      </w:r>
      <w:r w:rsidRPr="00293B0E">
        <w:rPr>
          <w:lang w:val="en-GB"/>
        </w:rPr>
        <w:t>ther they had any information about</w:t>
      </w:r>
      <w:r w:rsidR="00A25238" w:rsidRPr="00293B0E">
        <w:rPr>
          <w:lang w:val="en-GB"/>
        </w:rPr>
        <w:t xml:space="preserve"> </w:t>
      </w:r>
      <w:r w:rsidRPr="00293B0E">
        <w:rPr>
          <w:lang w:val="en-GB"/>
        </w:rPr>
        <w:t xml:space="preserve">missing persons, including </w:t>
      </w:r>
      <w:r w:rsidR="00A25238" w:rsidRPr="00293B0E">
        <w:rPr>
          <w:lang w:val="en-GB"/>
        </w:rPr>
        <w:t xml:space="preserve">Zoran Nedeljković.  </w:t>
      </w:r>
    </w:p>
    <w:p w:rsidR="00B30581" w:rsidRPr="00293B0E" w:rsidRDefault="00B30581" w:rsidP="00B30581">
      <w:pPr>
        <w:pStyle w:val="ListParagraph"/>
        <w:rPr>
          <w:lang w:val="en-GB"/>
        </w:rPr>
      </w:pPr>
    </w:p>
    <w:p w:rsidR="00A25238" w:rsidRPr="00293B0E" w:rsidRDefault="00051208" w:rsidP="00A25238">
      <w:pPr>
        <w:pStyle w:val="ListParagraph"/>
        <w:numPr>
          <w:ilvl w:val="0"/>
          <w:numId w:val="6"/>
        </w:numPr>
        <w:jc w:val="both"/>
        <w:rPr>
          <w:lang w:val="en-GB"/>
        </w:rPr>
      </w:pPr>
      <w:r w:rsidRPr="00293B0E">
        <w:rPr>
          <w:lang w:val="en-GB"/>
        </w:rPr>
        <w:t xml:space="preserve">No results were obtained with respect to this request </w:t>
      </w:r>
      <w:r w:rsidR="00B30581" w:rsidRPr="00293B0E">
        <w:t xml:space="preserve">from </w:t>
      </w:r>
      <w:r w:rsidR="00B30581" w:rsidRPr="00293B0E">
        <w:rPr>
          <w:lang w:val="en-GB"/>
        </w:rPr>
        <w:t>UNMIK Border Detachment Commanders.</w:t>
      </w:r>
    </w:p>
    <w:p w:rsidR="00A25238" w:rsidRPr="00293B0E" w:rsidRDefault="00A25238" w:rsidP="00A25238">
      <w:pPr>
        <w:jc w:val="both"/>
        <w:rPr>
          <w:sz w:val="20"/>
        </w:rPr>
      </w:pPr>
    </w:p>
    <w:p w:rsidR="004C2A39" w:rsidRPr="00293B0E" w:rsidRDefault="003041AF" w:rsidP="004C2A39">
      <w:pPr>
        <w:pStyle w:val="ListParagraph"/>
        <w:numPr>
          <w:ilvl w:val="0"/>
          <w:numId w:val="6"/>
        </w:numPr>
        <w:jc w:val="both"/>
        <w:rPr>
          <w:lang w:val="en-GB"/>
        </w:rPr>
      </w:pPr>
      <w:r w:rsidRPr="00293B0E">
        <w:rPr>
          <w:lang w:val="en-GB"/>
        </w:rPr>
        <w:t>A further document contained in the investigative file is the a</w:t>
      </w:r>
      <w:r w:rsidR="00245EBF" w:rsidRPr="00293B0E">
        <w:rPr>
          <w:lang w:val="en-GB"/>
        </w:rPr>
        <w:t xml:space="preserve">utopsy </w:t>
      </w:r>
      <w:r w:rsidRPr="00293B0E">
        <w:rPr>
          <w:lang w:val="en-GB"/>
        </w:rPr>
        <w:t>r</w:t>
      </w:r>
      <w:r w:rsidR="00245EBF" w:rsidRPr="00293B0E">
        <w:rPr>
          <w:lang w:val="en-GB"/>
        </w:rPr>
        <w:t xml:space="preserve">eport dated 17 </w:t>
      </w:r>
      <w:r w:rsidRPr="00293B0E">
        <w:rPr>
          <w:lang w:val="en-GB"/>
        </w:rPr>
        <w:t>D</w:t>
      </w:r>
      <w:r w:rsidR="00245EBF" w:rsidRPr="00293B0E">
        <w:rPr>
          <w:lang w:val="en-GB"/>
        </w:rPr>
        <w:t>ecember 2003</w:t>
      </w:r>
      <w:r w:rsidR="00051208" w:rsidRPr="00293B0E">
        <w:rPr>
          <w:lang w:val="en-GB"/>
        </w:rPr>
        <w:t>,</w:t>
      </w:r>
      <w:r w:rsidR="00245EBF" w:rsidRPr="00293B0E">
        <w:rPr>
          <w:lang w:val="en-GB"/>
        </w:rPr>
        <w:t xml:space="preserve"> which relates to mortal remains and clothing located in an undisclosed burial site</w:t>
      </w:r>
      <w:r w:rsidR="004C2A39" w:rsidRPr="00293B0E">
        <w:rPr>
          <w:lang w:val="en-GB"/>
        </w:rPr>
        <w:t xml:space="preserve"> on 29 April 2003</w:t>
      </w:r>
      <w:r w:rsidR="00245EBF" w:rsidRPr="00293B0E">
        <w:rPr>
          <w:lang w:val="en-GB"/>
        </w:rPr>
        <w:t xml:space="preserve">. The cause of death cited in the report </w:t>
      </w:r>
      <w:r w:rsidR="00051208" w:rsidRPr="00293B0E">
        <w:rPr>
          <w:lang w:val="en-GB"/>
        </w:rPr>
        <w:t>was</w:t>
      </w:r>
      <w:r w:rsidR="00245EBF" w:rsidRPr="00293B0E">
        <w:rPr>
          <w:lang w:val="en-GB"/>
        </w:rPr>
        <w:t xml:space="preserve"> gun</w:t>
      </w:r>
      <w:r w:rsidR="004C2A39" w:rsidRPr="00293B0E">
        <w:rPr>
          <w:lang w:val="en-GB"/>
        </w:rPr>
        <w:t>shot injuries</w:t>
      </w:r>
      <w:r w:rsidR="00245EBF" w:rsidRPr="00293B0E">
        <w:rPr>
          <w:lang w:val="en-GB"/>
        </w:rPr>
        <w:t xml:space="preserve"> to</w:t>
      </w:r>
      <w:r w:rsidR="004C2A39" w:rsidRPr="00293B0E">
        <w:rPr>
          <w:lang w:val="en-GB"/>
        </w:rPr>
        <w:t xml:space="preserve"> the head. </w:t>
      </w:r>
    </w:p>
    <w:p w:rsidR="004C2A39" w:rsidRPr="00293B0E" w:rsidRDefault="004C2A39" w:rsidP="004C2A39">
      <w:pPr>
        <w:pStyle w:val="ListParagraph"/>
        <w:rPr>
          <w:lang w:val="en-GB"/>
        </w:rPr>
      </w:pPr>
    </w:p>
    <w:p w:rsidR="004C2A39" w:rsidRPr="00293B0E" w:rsidRDefault="004C2A39" w:rsidP="001D18CE">
      <w:pPr>
        <w:pStyle w:val="ListParagraph"/>
        <w:numPr>
          <w:ilvl w:val="0"/>
          <w:numId w:val="6"/>
        </w:numPr>
        <w:jc w:val="both"/>
        <w:rPr>
          <w:lang w:val="en-GB"/>
        </w:rPr>
      </w:pPr>
      <w:r w:rsidRPr="00293B0E">
        <w:rPr>
          <w:lang w:val="en-GB"/>
        </w:rPr>
        <w:t xml:space="preserve">Subsequent to </w:t>
      </w:r>
      <w:r w:rsidR="008E1517" w:rsidRPr="00293B0E">
        <w:rPr>
          <w:lang w:val="en-GB"/>
        </w:rPr>
        <w:t xml:space="preserve">the </w:t>
      </w:r>
      <w:r w:rsidRPr="00293B0E">
        <w:rPr>
          <w:lang w:val="en-GB"/>
        </w:rPr>
        <w:t>autopsy</w:t>
      </w:r>
      <w:r w:rsidR="00A840B5" w:rsidRPr="00293B0E">
        <w:rPr>
          <w:lang w:val="en-GB"/>
        </w:rPr>
        <w:t>,</w:t>
      </w:r>
      <w:r w:rsidRPr="00293B0E">
        <w:rPr>
          <w:lang w:val="en-GB"/>
        </w:rPr>
        <w:t xml:space="preserve"> the ICMP compared samples of DNA from the </w:t>
      </w:r>
      <w:r w:rsidR="00571486" w:rsidRPr="00293B0E">
        <w:rPr>
          <w:lang w:val="en-GB"/>
        </w:rPr>
        <w:t>mortal remains</w:t>
      </w:r>
      <w:r w:rsidRPr="00293B0E">
        <w:rPr>
          <w:lang w:val="en-GB"/>
        </w:rPr>
        <w:t xml:space="preserve"> located on 29 April 2003 with DNA samples from the complainant and family members. On 1 July 2004</w:t>
      </w:r>
      <w:r w:rsidR="0091161E" w:rsidRPr="00293B0E">
        <w:rPr>
          <w:lang w:val="en-GB"/>
        </w:rPr>
        <w:t>,</w:t>
      </w:r>
      <w:r w:rsidRPr="00293B0E">
        <w:rPr>
          <w:lang w:val="en-GB"/>
        </w:rPr>
        <w:t xml:space="preserve"> the ICMP issued a DNA report concluding that they were a match.</w:t>
      </w:r>
    </w:p>
    <w:p w:rsidR="004C2A39" w:rsidRPr="00293B0E" w:rsidRDefault="004C2A39" w:rsidP="004C2A39">
      <w:pPr>
        <w:pStyle w:val="ListParagraph"/>
        <w:rPr>
          <w:lang w:val="en-GB"/>
        </w:rPr>
      </w:pPr>
    </w:p>
    <w:p w:rsidR="001D18CE" w:rsidRPr="00293B0E" w:rsidRDefault="004035BC" w:rsidP="00376878">
      <w:pPr>
        <w:pStyle w:val="ListParagraph"/>
        <w:numPr>
          <w:ilvl w:val="0"/>
          <w:numId w:val="6"/>
        </w:numPr>
        <w:jc w:val="both"/>
        <w:rPr>
          <w:lang w:val="en-GB"/>
        </w:rPr>
      </w:pPr>
      <w:r w:rsidRPr="00293B0E">
        <w:rPr>
          <w:lang w:val="en-GB"/>
        </w:rPr>
        <w:t>On 21 October 2004, based on the results of the DNA analysis and on the comparison of ant</w:t>
      </w:r>
      <w:r w:rsidR="00051208" w:rsidRPr="00293B0E">
        <w:rPr>
          <w:lang w:val="en-GB"/>
        </w:rPr>
        <w:t>e</w:t>
      </w:r>
      <w:r w:rsidRPr="00293B0E">
        <w:rPr>
          <w:lang w:val="en-GB"/>
        </w:rPr>
        <w:t>-mortem and post-mortem information</w:t>
      </w:r>
      <w:r w:rsidR="008E1517" w:rsidRPr="00293B0E">
        <w:rPr>
          <w:lang w:val="en-GB"/>
        </w:rPr>
        <w:t>,</w:t>
      </w:r>
      <w:r w:rsidRPr="00293B0E">
        <w:rPr>
          <w:lang w:val="en-GB"/>
        </w:rPr>
        <w:t xml:space="preserve"> UNMIK OMPF issued an Identification Certificate for Zoran Nedeljković. At the same time the Office of the Medical Examiner, UNMIK Department of Justice, issued a Death Certificate in the name of Zoran Nedeljković.</w:t>
      </w:r>
    </w:p>
    <w:p w:rsidR="004035BC" w:rsidRPr="00293B0E" w:rsidRDefault="004035BC" w:rsidP="004035BC">
      <w:pPr>
        <w:pStyle w:val="ListParagraph"/>
        <w:rPr>
          <w:lang w:val="en-GB"/>
        </w:rPr>
      </w:pPr>
    </w:p>
    <w:p w:rsidR="004035BC" w:rsidRPr="00293B0E" w:rsidRDefault="004035BC" w:rsidP="00376878">
      <w:pPr>
        <w:pStyle w:val="ListParagraph"/>
        <w:numPr>
          <w:ilvl w:val="0"/>
          <w:numId w:val="6"/>
        </w:numPr>
        <w:jc w:val="both"/>
        <w:rPr>
          <w:lang w:val="en-GB"/>
        </w:rPr>
      </w:pPr>
      <w:r w:rsidRPr="00293B0E">
        <w:rPr>
          <w:lang w:val="en-GB"/>
        </w:rPr>
        <w:t>On 21 December 2004</w:t>
      </w:r>
      <w:r w:rsidR="00A840B5" w:rsidRPr="00293B0E">
        <w:rPr>
          <w:lang w:val="en-GB"/>
        </w:rPr>
        <w:t>,</w:t>
      </w:r>
      <w:r w:rsidRPr="00293B0E">
        <w:rPr>
          <w:lang w:val="en-GB"/>
        </w:rPr>
        <w:t xml:space="preserve"> the mortal remains of Zoran Nedeljković</w:t>
      </w:r>
      <w:r w:rsidR="00051208" w:rsidRPr="00293B0E">
        <w:rPr>
          <w:lang w:val="en-GB"/>
        </w:rPr>
        <w:t xml:space="preserve"> were formal</w:t>
      </w:r>
      <w:r w:rsidRPr="00293B0E">
        <w:rPr>
          <w:lang w:val="en-GB"/>
        </w:rPr>
        <w:t xml:space="preserve">ly recorded as </w:t>
      </w:r>
      <w:r w:rsidR="0091161E" w:rsidRPr="00293B0E">
        <w:rPr>
          <w:lang w:val="en-GB"/>
        </w:rPr>
        <w:t xml:space="preserve">having been </w:t>
      </w:r>
      <w:r w:rsidRPr="00293B0E">
        <w:rPr>
          <w:lang w:val="en-GB"/>
        </w:rPr>
        <w:t xml:space="preserve">handed over </w:t>
      </w:r>
      <w:r w:rsidR="00B22B42" w:rsidRPr="00293B0E">
        <w:rPr>
          <w:lang w:val="en-GB"/>
        </w:rPr>
        <w:t xml:space="preserve">to </w:t>
      </w:r>
      <w:r w:rsidRPr="00293B0E">
        <w:rPr>
          <w:lang w:val="en-GB"/>
        </w:rPr>
        <w:t>the complainant.</w:t>
      </w:r>
    </w:p>
    <w:p w:rsidR="00B22B42" w:rsidRPr="00293B0E" w:rsidRDefault="00B22B42" w:rsidP="00B22B42">
      <w:pPr>
        <w:pStyle w:val="ListParagraph"/>
        <w:rPr>
          <w:lang w:val="en-GB"/>
        </w:rPr>
      </w:pPr>
    </w:p>
    <w:p w:rsidR="008C7DB9" w:rsidRPr="00293B0E" w:rsidRDefault="00051208" w:rsidP="00EC64DD">
      <w:pPr>
        <w:pStyle w:val="ListParagraph"/>
        <w:numPr>
          <w:ilvl w:val="0"/>
          <w:numId w:val="6"/>
        </w:numPr>
        <w:tabs>
          <w:tab w:val="left" w:pos="360"/>
        </w:tabs>
        <w:jc w:val="both"/>
        <w:rPr>
          <w:lang w:val="en-GB"/>
        </w:rPr>
      </w:pPr>
      <w:r w:rsidRPr="00293B0E">
        <w:rPr>
          <w:lang w:val="en-GB"/>
        </w:rPr>
        <w:t>T</w:t>
      </w:r>
      <w:r w:rsidR="00B22B42" w:rsidRPr="00293B0E">
        <w:rPr>
          <w:lang w:val="en-GB"/>
        </w:rPr>
        <w:t xml:space="preserve">he </w:t>
      </w:r>
      <w:r w:rsidR="00EB0617" w:rsidRPr="00293B0E">
        <w:rPr>
          <w:lang w:val="en-GB"/>
        </w:rPr>
        <w:t xml:space="preserve">file indicates that the </w:t>
      </w:r>
      <w:r w:rsidRPr="00293B0E">
        <w:rPr>
          <w:lang w:val="en-GB"/>
        </w:rPr>
        <w:t>MPU investigation was closed on 21 December 2004.</w:t>
      </w:r>
    </w:p>
    <w:p w:rsidR="00AE7E93" w:rsidRPr="00293B0E" w:rsidRDefault="00AE7E93" w:rsidP="00AE7E93">
      <w:pPr>
        <w:pStyle w:val="ListParagraph"/>
        <w:rPr>
          <w:lang w:val="en-GB"/>
        </w:rPr>
      </w:pPr>
    </w:p>
    <w:p w:rsidR="00AE7E93" w:rsidRPr="00293B0E" w:rsidRDefault="00AE7E93" w:rsidP="00AE7E93">
      <w:pPr>
        <w:pStyle w:val="ListParagraph"/>
        <w:tabs>
          <w:tab w:val="left" w:pos="360"/>
        </w:tabs>
        <w:ind w:left="360"/>
        <w:jc w:val="both"/>
        <w:rPr>
          <w:lang w:val="en-GB"/>
        </w:rPr>
      </w:pPr>
    </w:p>
    <w:p w:rsidR="000B5C31" w:rsidRPr="00293B0E" w:rsidRDefault="000B5C31" w:rsidP="00EC64DD">
      <w:pPr>
        <w:numPr>
          <w:ilvl w:val="0"/>
          <w:numId w:val="2"/>
        </w:numPr>
        <w:tabs>
          <w:tab w:val="left" w:pos="360"/>
        </w:tabs>
        <w:suppressAutoHyphens/>
        <w:autoSpaceDE w:val="0"/>
        <w:ind w:left="360" w:hanging="360"/>
        <w:jc w:val="both"/>
        <w:rPr>
          <w:b/>
          <w:bCs/>
          <w:lang w:val="en-GB"/>
        </w:rPr>
      </w:pPr>
      <w:r w:rsidRPr="00293B0E">
        <w:rPr>
          <w:b/>
          <w:bCs/>
          <w:lang w:val="en-GB"/>
        </w:rPr>
        <w:t>THE COMPLAINT</w:t>
      </w:r>
    </w:p>
    <w:p w:rsidR="000B5C31" w:rsidRPr="00293B0E" w:rsidRDefault="000B5C31" w:rsidP="00EC64DD">
      <w:pPr>
        <w:pStyle w:val="ListParagraph"/>
        <w:tabs>
          <w:tab w:val="left" w:pos="360"/>
        </w:tabs>
        <w:ind w:left="360" w:hanging="360"/>
        <w:rPr>
          <w:lang w:val="en-GB"/>
        </w:rPr>
      </w:pPr>
    </w:p>
    <w:p w:rsidR="005B71F4" w:rsidRPr="00293B0E" w:rsidRDefault="008D136A" w:rsidP="00A840B5">
      <w:pPr>
        <w:widowControl w:val="0"/>
        <w:numPr>
          <w:ilvl w:val="0"/>
          <w:numId w:val="6"/>
        </w:numPr>
        <w:tabs>
          <w:tab w:val="left" w:pos="1080"/>
        </w:tabs>
        <w:suppressAutoHyphens/>
        <w:jc w:val="both"/>
        <w:rPr>
          <w:lang w:val="en-GB"/>
        </w:rPr>
      </w:pPr>
      <w:bookmarkStart w:id="5" w:name="_Ref341712435"/>
      <w:r w:rsidRPr="00293B0E">
        <w:rPr>
          <w:lang w:val="en-GB"/>
        </w:rPr>
        <w:t>The complainant complains about UNMIK’s alleged failure to pr</w:t>
      </w:r>
      <w:r w:rsidR="00370EF9" w:rsidRPr="00293B0E">
        <w:rPr>
          <w:lang w:val="en-GB"/>
        </w:rPr>
        <w:t>operly investigate the disappearance</w:t>
      </w:r>
      <w:r w:rsidRPr="00293B0E">
        <w:rPr>
          <w:lang w:val="en-GB"/>
        </w:rPr>
        <w:t xml:space="preserve"> and </w:t>
      </w:r>
      <w:r w:rsidR="00A04061" w:rsidRPr="00293B0E">
        <w:rPr>
          <w:lang w:val="en-GB"/>
        </w:rPr>
        <w:t>killing</w:t>
      </w:r>
      <w:r w:rsidRPr="00293B0E">
        <w:rPr>
          <w:lang w:val="en-GB"/>
        </w:rPr>
        <w:t xml:space="preserve"> of </w:t>
      </w:r>
      <w:r w:rsidR="00B22B42" w:rsidRPr="00293B0E">
        <w:rPr>
          <w:lang w:val="en-GB"/>
        </w:rPr>
        <w:t>her</w:t>
      </w:r>
      <w:r w:rsidRPr="00293B0E">
        <w:rPr>
          <w:lang w:val="en-GB"/>
        </w:rPr>
        <w:t xml:space="preserve"> </w:t>
      </w:r>
      <w:r w:rsidR="00B22B42" w:rsidRPr="00293B0E">
        <w:rPr>
          <w:lang w:val="en-GB"/>
        </w:rPr>
        <w:t>husband</w:t>
      </w:r>
      <w:r w:rsidRPr="00293B0E">
        <w:rPr>
          <w:lang w:val="en-GB"/>
        </w:rPr>
        <w:t xml:space="preserve">. </w:t>
      </w:r>
      <w:r w:rsidR="000B5C31" w:rsidRPr="00293B0E">
        <w:rPr>
          <w:lang w:val="en-GB"/>
        </w:rPr>
        <w:t xml:space="preserve">In this regard, the Panel deems that </w:t>
      </w:r>
      <w:r w:rsidR="00B22B42" w:rsidRPr="00293B0E">
        <w:rPr>
          <w:lang w:val="en-GB"/>
        </w:rPr>
        <w:t>s</w:t>
      </w:r>
      <w:r w:rsidR="000B5C31" w:rsidRPr="00293B0E">
        <w:rPr>
          <w:lang w:val="en-GB"/>
        </w:rPr>
        <w:t>he invokes a violation of the procedural limb of Article 2 of the European Convention on Human Rights (ECHR).</w:t>
      </w:r>
    </w:p>
    <w:p w:rsidR="005B71F4" w:rsidRPr="00293B0E" w:rsidRDefault="005B71F4" w:rsidP="00EC64DD">
      <w:pPr>
        <w:widowControl w:val="0"/>
        <w:tabs>
          <w:tab w:val="left" w:pos="360"/>
          <w:tab w:val="left" w:pos="1080"/>
        </w:tabs>
        <w:suppressAutoHyphens/>
        <w:ind w:left="360" w:hanging="360"/>
        <w:jc w:val="both"/>
        <w:rPr>
          <w:lang w:val="en-GB"/>
        </w:rPr>
      </w:pPr>
    </w:p>
    <w:p w:rsidR="00BD0E45" w:rsidRPr="00293B0E" w:rsidRDefault="000B5C31" w:rsidP="00A840B5">
      <w:pPr>
        <w:widowControl w:val="0"/>
        <w:numPr>
          <w:ilvl w:val="0"/>
          <w:numId w:val="6"/>
        </w:numPr>
        <w:tabs>
          <w:tab w:val="left" w:pos="1080"/>
        </w:tabs>
        <w:suppressAutoHyphens/>
        <w:jc w:val="both"/>
        <w:rPr>
          <w:lang w:val="en-GB"/>
        </w:rPr>
      </w:pPr>
      <w:r w:rsidRPr="00293B0E">
        <w:rPr>
          <w:lang w:val="en-GB"/>
        </w:rPr>
        <w:t>The complain</w:t>
      </w:r>
      <w:r w:rsidR="002B3D61" w:rsidRPr="00293B0E">
        <w:rPr>
          <w:lang w:val="en-GB"/>
        </w:rPr>
        <w:t xml:space="preserve">ant </w:t>
      </w:r>
      <w:r w:rsidRPr="00293B0E">
        <w:rPr>
          <w:lang w:val="en-GB"/>
        </w:rPr>
        <w:t xml:space="preserve">also complains about the mental pain and suffering allegedly caused to </w:t>
      </w:r>
      <w:r w:rsidR="00B22B42" w:rsidRPr="00293B0E">
        <w:rPr>
          <w:lang w:val="en-GB"/>
        </w:rPr>
        <w:t>herself</w:t>
      </w:r>
      <w:r w:rsidRPr="00293B0E">
        <w:rPr>
          <w:lang w:val="en-GB"/>
        </w:rPr>
        <w:t xml:space="preserve"> and </w:t>
      </w:r>
      <w:r w:rsidR="00B22B42" w:rsidRPr="00293B0E">
        <w:rPr>
          <w:lang w:val="en-GB"/>
        </w:rPr>
        <w:t>her</w:t>
      </w:r>
      <w:r w:rsidRPr="00293B0E">
        <w:rPr>
          <w:lang w:val="en-GB"/>
        </w:rPr>
        <w:t xml:space="preserve"> family by this situation. In this regard, the Panel considers that the complainant relies on Article 3 of the ECHR.</w:t>
      </w:r>
    </w:p>
    <w:p w:rsidR="00051208" w:rsidRDefault="00051208" w:rsidP="00051208">
      <w:pPr>
        <w:pStyle w:val="ListParagraph"/>
        <w:rPr>
          <w:lang w:val="en-GB"/>
        </w:rPr>
      </w:pPr>
    </w:p>
    <w:p w:rsidR="00051208" w:rsidRPr="00A25238" w:rsidRDefault="00051208" w:rsidP="00051208">
      <w:pPr>
        <w:widowControl w:val="0"/>
        <w:tabs>
          <w:tab w:val="left" w:pos="1080"/>
        </w:tabs>
        <w:suppressAutoHyphens/>
        <w:ind w:left="360"/>
        <w:jc w:val="both"/>
        <w:rPr>
          <w:lang w:val="en-GB"/>
        </w:rPr>
      </w:pPr>
    </w:p>
    <w:bookmarkEnd w:id="5"/>
    <w:p w:rsidR="007551D8" w:rsidRPr="00A25238" w:rsidRDefault="007551D8" w:rsidP="00EC64DD">
      <w:pPr>
        <w:numPr>
          <w:ilvl w:val="0"/>
          <w:numId w:val="2"/>
        </w:numPr>
        <w:tabs>
          <w:tab w:val="left" w:pos="360"/>
        </w:tabs>
        <w:suppressAutoHyphens/>
        <w:autoSpaceDE w:val="0"/>
        <w:ind w:left="360" w:hanging="360"/>
        <w:jc w:val="both"/>
        <w:rPr>
          <w:b/>
          <w:bCs/>
          <w:lang w:val="en-GB"/>
        </w:rPr>
      </w:pPr>
      <w:r w:rsidRPr="00A25238">
        <w:rPr>
          <w:b/>
          <w:bCs/>
          <w:lang w:val="en-GB"/>
        </w:rPr>
        <w:t>THE LAW</w:t>
      </w:r>
    </w:p>
    <w:p w:rsidR="00A47CBB" w:rsidRPr="00A25238" w:rsidRDefault="00A47CBB" w:rsidP="00EC64DD">
      <w:pPr>
        <w:tabs>
          <w:tab w:val="left" w:pos="360"/>
        </w:tabs>
        <w:autoSpaceDE w:val="0"/>
        <w:ind w:left="360" w:hanging="360"/>
        <w:contextualSpacing/>
        <w:jc w:val="both"/>
        <w:rPr>
          <w:bCs/>
          <w:lang w:val="en-GB"/>
        </w:rPr>
      </w:pPr>
    </w:p>
    <w:p w:rsidR="007551D8" w:rsidRPr="00A25238" w:rsidRDefault="00A47CBB" w:rsidP="00EC64DD">
      <w:pPr>
        <w:pStyle w:val="ListParagraph"/>
        <w:numPr>
          <w:ilvl w:val="0"/>
          <w:numId w:val="34"/>
        </w:numPr>
        <w:tabs>
          <w:tab w:val="left" w:pos="360"/>
        </w:tabs>
        <w:autoSpaceDE w:val="0"/>
        <w:ind w:left="360"/>
        <w:contextualSpacing/>
        <w:jc w:val="both"/>
        <w:rPr>
          <w:b/>
          <w:bCs/>
          <w:lang w:val="en-GB"/>
        </w:rPr>
      </w:pPr>
      <w:r w:rsidRPr="00A25238">
        <w:rPr>
          <w:b/>
          <w:bCs/>
          <w:lang w:val="en-GB"/>
        </w:rPr>
        <w:t>T</w:t>
      </w:r>
      <w:r w:rsidR="007551D8" w:rsidRPr="00A25238">
        <w:rPr>
          <w:b/>
          <w:bCs/>
          <w:lang w:val="en-GB"/>
        </w:rPr>
        <w:t>he scope of the Panel’s review</w:t>
      </w:r>
    </w:p>
    <w:p w:rsidR="007551D8" w:rsidRPr="00A25238" w:rsidRDefault="007551D8" w:rsidP="00EC64DD">
      <w:pPr>
        <w:tabs>
          <w:tab w:val="left" w:pos="360"/>
        </w:tabs>
        <w:ind w:left="360" w:hanging="360"/>
        <w:jc w:val="both"/>
        <w:rPr>
          <w:lang w:val="en-GB"/>
        </w:rPr>
      </w:pPr>
    </w:p>
    <w:p w:rsidR="005B71F4" w:rsidRPr="00A25238" w:rsidRDefault="00571486" w:rsidP="00A840B5">
      <w:pPr>
        <w:numPr>
          <w:ilvl w:val="0"/>
          <w:numId w:val="6"/>
        </w:numPr>
        <w:suppressAutoHyphens/>
        <w:autoSpaceDE w:val="0"/>
        <w:jc w:val="both"/>
        <w:rPr>
          <w:lang w:val="en-GB"/>
        </w:rPr>
      </w:pPr>
      <w:r w:rsidRPr="00A5537A">
        <w:rPr>
          <w:lang w:val="en-GB"/>
        </w:rPr>
        <w:t>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r w:rsidR="005B71F4" w:rsidRPr="00A25238">
        <w:rPr>
          <w:lang w:val="en-GB"/>
        </w:rPr>
        <w:t xml:space="preserve"> </w:t>
      </w:r>
    </w:p>
    <w:p w:rsidR="005B71F4" w:rsidRPr="00A25238" w:rsidRDefault="005B71F4" w:rsidP="00EC64DD">
      <w:pPr>
        <w:tabs>
          <w:tab w:val="left" w:pos="360"/>
        </w:tabs>
        <w:autoSpaceDE w:val="0"/>
        <w:ind w:left="360" w:hanging="360"/>
        <w:jc w:val="both"/>
        <w:rPr>
          <w:bCs/>
          <w:lang w:val="en-GB"/>
        </w:rPr>
      </w:pPr>
    </w:p>
    <w:p w:rsidR="005B71F4" w:rsidRPr="00A25238" w:rsidRDefault="00571486" w:rsidP="00A840B5">
      <w:pPr>
        <w:numPr>
          <w:ilvl w:val="0"/>
          <w:numId w:val="6"/>
        </w:numPr>
        <w:suppressAutoHyphens/>
        <w:autoSpaceDE w:val="0"/>
        <w:jc w:val="both"/>
        <w:rPr>
          <w:bCs/>
          <w:lang w:val="en-GB"/>
        </w:rPr>
      </w:pPr>
      <w:r w:rsidRPr="00A5537A">
        <w:rPr>
          <w:bCs/>
          <w:lang w:val="en-GB"/>
        </w:rPr>
        <w:t>Before turning to the examination of the merits of the complaint, the Panel needs to clarify the scope of its review.</w:t>
      </w:r>
    </w:p>
    <w:p w:rsidR="005B71F4" w:rsidRPr="00A25238" w:rsidRDefault="005B71F4" w:rsidP="00EC64DD">
      <w:pPr>
        <w:tabs>
          <w:tab w:val="left" w:pos="360"/>
        </w:tabs>
        <w:autoSpaceDE w:val="0"/>
        <w:ind w:left="360" w:hanging="360"/>
        <w:jc w:val="both"/>
        <w:rPr>
          <w:bCs/>
          <w:lang w:val="en-GB"/>
        </w:rPr>
      </w:pPr>
    </w:p>
    <w:p w:rsidR="005B71F4" w:rsidRPr="00A25238" w:rsidRDefault="00571486" w:rsidP="00A840B5">
      <w:pPr>
        <w:numPr>
          <w:ilvl w:val="0"/>
          <w:numId w:val="6"/>
        </w:numPr>
        <w:suppressAutoHyphens/>
        <w:autoSpaceDE w:val="0"/>
        <w:jc w:val="both"/>
        <w:rPr>
          <w:lang w:val="en-GB"/>
        </w:rPr>
      </w:pPr>
      <w:bookmarkStart w:id="6" w:name="_Ref347321462"/>
      <w:bookmarkStart w:id="7" w:name="_Ref317418022"/>
      <w:r w:rsidRPr="00A5537A">
        <w:rPr>
          <w:color w:val="000000"/>
          <w:lang w:val="en-GB" w:eastAsia="nl-BE"/>
        </w:rPr>
        <w:t xml:space="preserve">The </w:t>
      </w:r>
      <w:r w:rsidRPr="00A5537A">
        <w:rPr>
          <w:bCs/>
          <w:lang w:val="en-GB"/>
        </w:rPr>
        <w:t>Panel</w:t>
      </w:r>
      <w:r w:rsidRPr="00A5537A">
        <w:rPr>
          <w:color w:val="000000"/>
          <w:lang w:val="en-GB" w:eastAsia="nl-BE"/>
        </w:rPr>
        <w:t xml:space="preserve"> notes that with the adoption of the UNMIK Regulation No. 1999/1 on 25 July 1999 UNMIK undertook an obligation to observe internationally recognised human </w:t>
      </w:r>
      <w:r w:rsidRPr="00A5537A">
        <w:rPr>
          <w:bCs/>
          <w:lang w:val="en-GB"/>
        </w:rPr>
        <w:t>rights</w:t>
      </w:r>
      <w:r w:rsidRPr="00A5537A">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5537A">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A5537A">
          <w:rPr>
            <w:rStyle w:val="Hyperlink"/>
            <w:color w:val="auto"/>
            <w:u w:val="none"/>
            <w:lang w:val="en-GB"/>
          </w:rPr>
          <w:t>the Convention Against Torture and Other Cruel, Inhuman or Degrading Treatment or Punishment</w:t>
        </w:r>
      </w:hyperlink>
      <w:r w:rsidRPr="00A5537A">
        <w:rPr>
          <w:lang w:val="en-GB"/>
        </w:rPr>
        <w:t xml:space="preserve">, the </w:t>
      </w:r>
      <w:r w:rsidRPr="00A5537A">
        <w:t>Convention on the Rights of the Child.</w:t>
      </w:r>
      <w:bookmarkEnd w:id="6"/>
    </w:p>
    <w:p w:rsidR="00A7361B" w:rsidRPr="00A25238" w:rsidRDefault="00A7361B" w:rsidP="00EC64DD">
      <w:pPr>
        <w:tabs>
          <w:tab w:val="left" w:pos="360"/>
        </w:tabs>
        <w:suppressAutoHyphens/>
        <w:autoSpaceDE w:val="0"/>
        <w:ind w:left="360" w:hanging="360"/>
        <w:jc w:val="both"/>
        <w:rPr>
          <w:lang w:val="en-GB"/>
        </w:rPr>
      </w:pPr>
      <w:bookmarkStart w:id="8" w:name="_Ref317493050"/>
    </w:p>
    <w:p w:rsidR="005B71F4" w:rsidRPr="00A25238" w:rsidRDefault="00571486" w:rsidP="00A840B5">
      <w:pPr>
        <w:numPr>
          <w:ilvl w:val="0"/>
          <w:numId w:val="6"/>
        </w:numPr>
        <w:suppressAutoHyphens/>
        <w:autoSpaceDE w:val="0"/>
        <w:jc w:val="both"/>
        <w:rPr>
          <w:lang w:val="en-GB"/>
        </w:rPr>
      </w:pPr>
      <w:bookmarkStart w:id="9" w:name="_Ref347495661"/>
      <w:bookmarkEnd w:id="8"/>
      <w:r w:rsidRPr="00A5537A">
        <w:rPr>
          <w:rFonts w:cs="CAGLHH+TimesNewRoman"/>
          <w:color w:val="000000"/>
          <w:lang w:val="en-GB"/>
        </w:rPr>
        <w:t xml:space="preserve">The Panel also notes that Section 1.2 of </w:t>
      </w:r>
      <w:r w:rsidRPr="00A5537A">
        <w:rPr>
          <w:bCs/>
          <w:lang w:val="en-GB"/>
        </w:rPr>
        <w:t xml:space="preserve">UNMIK Regulation No. 2006/12 of 23 March 2006 on the Establishment of the Human Rights Advisory Panel </w:t>
      </w:r>
      <w:r w:rsidRPr="00A5537A">
        <w:rPr>
          <w:rFonts w:cs="CAGLHH+TimesNewRoman"/>
          <w:color w:val="000000"/>
          <w:lang w:val="en-GB"/>
        </w:rPr>
        <w:t xml:space="preserve">provides that the Panel “shall examine complaints from any person or group of individuals claiming to be the victim of a violation by UNMIK of (their) human rights”. It </w:t>
      </w:r>
      <w:r w:rsidRPr="00A5537A">
        <w:rPr>
          <w:bCs/>
          <w:lang w:val="en-GB"/>
        </w:rPr>
        <w:t>follows</w:t>
      </w:r>
      <w:r w:rsidRPr="00A5537A">
        <w:rPr>
          <w:rFonts w:cs="CAGLHH+TimesNewRoman"/>
          <w:color w:val="000000"/>
          <w:lang w:val="en-GB"/>
        </w:rPr>
        <w:t xml:space="preserve"> that only acts or omissions attributable to UNMIK fall within the jurisdiction </w:t>
      </w:r>
      <w:r w:rsidRPr="00A5537A">
        <w:rPr>
          <w:rFonts w:cs="CAGLHH+TimesNewRoman"/>
          <w:i/>
          <w:color w:val="000000"/>
          <w:lang w:val="en-GB"/>
        </w:rPr>
        <w:t>ratione personae</w:t>
      </w:r>
      <w:r w:rsidRPr="00A5537A">
        <w:rPr>
          <w:rFonts w:cs="CAGLHH+TimesNewRoman"/>
          <w:color w:val="000000"/>
          <w:lang w:val="en-GB"/>
        </w:rPr>
        <w:t xml:space="preserve"> of the Panel. In this respect, it should be noted, as stated above, that as of </w:t>
      </w:r>
      <w:r w:rsidRPr="00A5537A">
        <w:rPr>
          <w:lang w:val="en-GB"/>
        </w:rPr>
        <w:t xml:space="preserve">9 December 2008, UNMIK </w:t>
      </w:r>
      <w:r w:rsidRPr="00A5537A">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A5537A">
        <w:rPr>
          <w:bCs/>
          <w:i/>
          <w:lang w:val="en-GB"/>
        </w:rPr>
        <w:t>ratione personae</w:t>
      </w:r>
      <w:r w:rsidRPr="00A5537A">
        <w:rPr>
          <w:bCs/>
          <w:lang w:val="en-GB"/>
        </w:rPr>
        <w:t xml:space="preserve"> of the Panel.</w:t>
      </w:r>
      <w:bookmarkEnd w:id="9"/>
    </w:p>
    <w:p w:rsidR="005B71F4" w:rsidRPr="00A25238" w:rsidRDefault="005B71F4" w:rsidP="00EC64DD">
      <w:pPr>
        <w:pStyle w:val="ListParagraph"/>
        <w:tabs>
          <w:tab w:val="left" w:pos="360"/>
        </w:tabs>
        <w:ind w:left="360" w:hanging="360"/>
        <w:rPr>
          <w:lang w:val="en-GB"/>
        </w:rPr>
      </w:pPr>
    </w:p>
    <w:p w:rsidR="005B71F4" w:rsidRPr="00A25238" w:rsidRDefault="00571486" w:rsidP="00A840B5">
      <w:pPr>
        <w:numPr>
          <w:ilvl w:val="0"/>
          <w:numId w:val="6"/>
        </w:numPr>
        <w:suppressAutoHyphens/>
        <w:autoSpaceDE w:val="0"/>
        <w:jc w:val="both"/>
        <w:rPr>
          <w:bCs/>
          <w:lang w:val="en-GB"/>
        </w:rPr>
      </w:pPr>
      <w:r w:rsidRPr="00A5537A">
        <w:rPr>
          <w:rFonts w:cs="CAGLHH+TimesNewRoman"/>
          <w:color w:val="000000"/>
          <w:lang w:val="en-GB"/>
        </w:rPr>
        <w:t xml:space="preserve">Likewise, the Panel emphasises that, as far as its jurisdiction </w:t>
      </w:r>
      <w:r w:rsidRPr="00A5537A">
        <w:rPr>
          <w:rFonts w:cs="CAGLHH+TimesNewRoman"/>
          <w:i/>
          <w:color w:val="000000"/>
          <w:lang w:val="en-GB"/>
        </w:rPr>
        <w:t>ratione materiae</w:t>
      </w:r>
      <w:r w:rsidRPr="00A5537A">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fldSimple w:instr=" REF _Ref347321462 \r \h  \* MERGEFORMAT ">
        <w:r w:rsidR="00CD172E" w:rsidRPr="00CD172E">
          <w:rPr>
            <w:rFonts w:cs="CAGLHH+TimesNewRoman"/>
            <w:color w:val="000000"/>
            <w:lang w:val="en-GB"/>
          </w:rPr>
          <w:t>37</w:t>
        </w:r>
      </w:fldSimple>
      <w:r w:rsidRPr="00A5537A">
        <w:rPr>
          <w:rFonts w:cs="CAGLHH+TimesNewRoman"/>
          <w:color w:val="000000"/>
          <w:lang w:val="en-GB"/>
        </w:rPr>
        <w:t>).</w:t>
      </w:r>
      <w:r w:rsidRPr="00A5537A">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5B71F4" w:rsidRPr="00A25238" w:rsidRDefault="005B71F4" w:rsidP="00EC64DD">
      <w:pPr>
        <w:pStyle w:val="ListParagraph"/>
        <w:tabs>
          <w:tab w:val="left" w:pos="360"/>
        </w:tabs>
        <w:ind w:left="360" w:hanging="360"/>
        <w:rPr>
          <w:bCs/>
          <w:lang w:val="en-GB"/>
        </w:rPr>
      </w:pPr>
    </w:p>
    <w:p w:rsidR="005B71F4" w:rsidRPr="00A25238" w:rsidRDefault="00571486" w:rsidP="00A840B5">
      <w:pPr>
        <w:numPr>
          <w:ilvl w:val="0"/>
          <w:numId w:val="6"/>
        </w:numPr>
        <w:tabs>
          <w:tab w:val="left" w:pos="630"/>
          <w:tab w:val="left" w:pos="2790"/>
        </w:tabs>
        <w:suppressAutoHyphens/>
        <w:autoSpaceDE w:val="0"/>
        <w:jc w:val="both"/>
        <w:rPr>
          <w:bCs/>
          <w:lang w:val="en-GB"/>
        </w:rPr>
      </w:pPr>
      <w:bookmarkStart w:id="10" w:name="_Ref346123885"/>
      <w:bookmarkEnd w:id="7"/>
      <w:r w:rsidRPr="00A5537A">
        <w:rPr>
          <w:bCs/>
          <w:lang w:val="en-GB"/>
        </w:rPr>
        <w:t>The Panel further notes that Section 2 of UNMIK Regulation No. 2006/12 provides that t</w:t>
      </w:r>
      <w:r w:rsidRPr="00A5537A">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5537A">
        <w:rPr>
          <w:rFonts w:cs="CAGLHH+TimesNewRoman"/>
          <w:i/>
          <w:color w:val="000000"/>
          <w:lang w:val="en-GB"/>
        </w:rPr>
        <w:t>ratione temporis</w:t>
      </w:r>
      <w:r w:rsidRPr="00A5537A">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w:t>
      </w:r>
      <w:r>
        <w:rPr>
          <w:rFonts w:cs="CAGLHH+TimesNewRoman"/>
          <w:color w:val="000000"/>
          <w:lang w:val="en-GB"/>
        </w:rPr>
        <w:t xml:space="preserve"> [GC]</w:t>
      </w:r>
      <w:r w:rsidRPr="00A5537A">
        <w:rPr>
          <w:rFonts w:cs="CAGLHH+TimesNewRoman"/>
          <w:color w:val="000000"/>
          <w:lang w:val="en-GB"/>
        </w:rPr>
        <w:t xml:space="preserve">, </w:t>
      </w:r>
      <w:r w:rsidRPr="00A5537A">
        <w:rPr>
          <w:rFonts w:cs="CAGLHH+TimesNewRoman"/>
          <w:i/>
          <w:color w:val="000000"/>
          <w:lang w:val="en-GB"/>
        </w:rPr>
        <w:t>Varnava and Others v. Turkey</w:t>
      </w:r>
      <w:r w:rsidRPr="00A5537A">
        <w:rPr>
          <w:rFonts w:cs="CAGLHH+TimesNewRoman"/>
          <w:color w:val="000000"/>
          <w:lang w:val="en-GB"/>
        </w:rPr>
        <w:t xml:space="preserve">, nos. 16064/90 and others, judgment of 18 September 2009, §§ 147-149; ECtHR, </w:t>
      </w:r>
      <w:r w:rsidRPr="00A5537A">
        <w:rPr>
          <w:rFonts w:cs="CAGLHH+TimesNewRoman"/>
          <w:i/>
          <w:color w:val="000000"/>
          <w:lang w:val="en-GB"/>
        </w:rPr>
        <w:t xml:space="preserve">Cyprus v. Turkey </w:t>
      </w:r>
      <w:r w:rsidRPr="00A5537A">
        <w:rPr>
          <w:rFonts w:cs="CAGLHH+TimesNewRoman"/>
          <w:color w:val="000000"/>
          <w:lang w:val="en-GB"/>
        </w:rPr>
        <w:t xml:space="preserve">[GC] no. </w:t>
      </w:r>
      <w:r w:rsidRPr="00A5537A">
        <w:rPr>
          <w:rStyle w:val="s85f22697"/>
          <w:lang w:val="en-GB"/>
        </w:rPr>
        <w:t xml:space="preserve">25781/94, judgment of 10 </w:t>
      </w:r>
      <w:r w:rsidRPr="006964C6">
        <w:rPr>
          <w:rStyle w:val="s85f22697"/>
          <w:lang w:val="en-GB"/>
        </w:rPr>
        <w:t>May 2001,</w:t>
      </w:r>
      <w:r w:rsidRPr="006964C6">
        <w:rPr>
          <w:rFonts w:cs="CAGLHH+TimesNewRoman"/>
          <w:lang w:val="en-GB"/>
        </w:rPr>
        <w:t xml:space="preserve"> § 136</w:t>
      </w:r>
      <w:r w:rsidRPr="00A5537A">
        <w:rPr>
          <w:rFonts w:cs="CAGLHH+TimesNewRoman"/>
          <w:color w:val="000000"/>
          <w:lang w:val="en-GB"/>
        </w:rPr>
        <w:t>, ECHR 2001-IV).</w:t>
      </w:r>
      <w:bookmarkEnd w:id="10"/>
    </w:p>
    <w:p w:rsidR="002E5F91" w:rsidRPr="00A25238" w:rsidRDefault="002E5F91" w:rsidP="00EC64DD">
      <w:pPr>
        <w:pStyle w:val="ListParagraph"/>
        <w:tabs>
          <w:tab w:val="left" w:pos="360"/>
        </w:tabs>
        <w:ind w:left="360" w:hanging="360"/>
        <w:rPr>
          <w:lang w:val="en-GB"/>
        </w:rPr>
      </w:pPr>
    </w:p>
    <w:p w:rsidR="00B712F3" w:rsidRPr="00A25238" w:rsidRDefault="00B712F3" w:rsidP="00EC64DD">
      <w:pPr>
        <w:pStyle w:val="ListParagraph"/>
        <w:numPr>
          <w:ilvl w:val="0"/>
          <w:numId w:val="34"/>
        </w:numPr>
        <w:tabs>
          <w:tab w:val="left" w:pos="360"/>
        </w:tabs>
        <w:autoSpaceDE w:val="0"/>
        <w:ind w:left="360"/>
        <w:contextualSpacing/>
        <w:jc w:val="both"/>
        <w:rPr>
          <w:b/>
          <w:lang w:val="en-GB"/>
        </w:rPr>
      </w:pPr>
      <w:r w:rsidRPr="00A25238">
        <w:rPr>
          <w:b/>
          <w:lang w:val="en-GB"/>
        </w:rPr>
        <w:t>Alleged violation of the procedural obligation under</w:t>
      </w:r>
      <w:r w:rsidRPr="00A25238">
        <w:rPr>
          <w:b/>
          <w:i/>
          <w:lang w:val="en-GB"/>
        </w:rPr>
        <w:t xml:space="preserve"> </w:t>
      </w:r>
      <w:r w:rsidRPr="00A25238">
        <w:rPr>
          <w:b/>
          <w:lang w:val="en-GB"/>
        </w:rPr>
        <w:t>Article 2 of the ECHR</w:t>
      </w:r>
    </w:p>
    <w:p w:rsidR="009B4D35" w:rsidRPr="00A25238" w:rsidRDefault="009B4D35" w:rsidP="00EC64DD">
      <w:pPr>
        <w:pStyle w:val="ListParagraph"/>
        <w:tabs>
          <w:tab w:val="left" w:pos="360"/>
        </w:tabs>
        <w:suppressAutoHyphens w:val="0"/>
        <w:autoSpaceDE w:val="0"/>
        <w:ind w:left="360" w:hanging="360"/>
        <w:contextualSpacing/>
        <w:jc w:val="both"/>
        <w:rPr>
          <w:b/>
          <w:bCs/>
          <w:lang w:val="en-GB"/>
        </w:rPr>
      </w:pPr>
    </w:p>
    <w:p w:rsidR="007113B1" w:rsidRPr="00A25238" w:rsidRDefault="008D136A" w:rsidP="00A840B5">
      <w:pPr>
        <w:numPr>
          <w:ilvl w:val="0"/>
          <w:numId w:val="6"/>
        </w:numPr>
        <w:suppressAutoHyphens/>
        <w:autoSpaceDE w:val="0"/>
        <w:jc w:val="both"/>
        <w:rPr>
          <w:bCs/>
          <w:lang w:val="en-GB"/>
        </w:rPr>
      </w:pPr>
      <w:r w:rsidRPr="00A25238">
        <w:rPr>
          <w:bCs/>
          <w:lang w:val="en-GB"/>
        </w:rPr>
        <w:t>T</w:t>
      </w:r>
      <w:r w:rsidR="00887FE3" w:rsidRPr="00A25238">
        <w:rPr>
          <w:bCs/>
          <w:lang w:val="en-GB"/>
        </w:rPr>
        <w:t xml:space="preserve">he </w:t>
      </w:r>
      <w:r w:rsidR="001B7E46" w:rsidRPr="00A25238">
        <w:rPr>
          <w:bCs/>
          <w:lang w:val="en-GB"/>
        </w:rPr>
        <w:t xml:space="preserve">Panel </w:t>
      </w:r>
      <w:r w:rsidR="009B4D35" w:rsidRPr="00A25238">
        <w:rPr>
          <w:bCs/>
          <w:lang w:val="en-GB"/>
        </w:rPr>
        <w:t xml:space="preserve">considers </w:t>
      </w:r>
      <w:r w:rsidR="001B7E46" w:rsidRPr="00A25238">
        <w:rPr>
          <w:bCs/>
          <w:lang w:val="en-GB"/>
        </w:rPr>
        <w:t>that the complainant invoke</w:t>
      </w:r>
      <w:r w:rsidR="009B4D35" w:rsidRPr="00A25238">
        <w:rPr>
          <w:bCs/>
          <w:lang w:val="en-GB"/>
        </w:rPr>
        <w:t>s</w:t>
      </w:r>
      <w:r w:rsidR="001B7E46" w:rsidRPr="00A25238">
        <w:rPr>
          <w:bCs/>
          <w:lang w:val="en-GB"/>
        </w:rPr>
        <w:t xml:space="preserve"> a violation of the </w:t>
      </w:r>
      <w:r w:rsidR="009B4D35" w:rsidRPr="00A25238">
        <w:rPr>
          <w:bCs/>
          <w:lang w:val="en-GB"/>
        </w:rPr>
        <w:t>procedural obligation stemming from the right to life</w:t>
      </w:r>
      <w:r w:rsidR="001B7E46" w:rsidRPr="00A25238">
        <w:rPr>
          <w:bCs/>
          <w:lang w:val="en-GB"/>
        </w:rPr>
        <w:t>, guaranteed by Article 2 of the European Convention on Human Rights (ECHR)</w:t>
      </w:r>
      <w:r w:rsidR="00A840B5">
        <w:rPr>
          <w:bCs/>
          <w:lang w:val="en-GB"/>
        </w:rPr>
        <w:t>,</w:t>
      </w:r>
      <w:r w:rsidR="009B4D35" w:rsidRPr="00A25238">
        <w:rPr>
          <w:bCs/>
          <w:lang w:val="en-GB"/>
        </w:rPr>
        <w:t xml:space="preserve"> in that UNMIK Police did not conduct an effective investigation into </w:t>
      </w:r>
      <w:r w:rsidR="00EB0617">
        <w:rPr>
          <w:bCs/>
          <w:lang w:val="en-GB"/>
        </w:rPr>
        <w:t>her</w:t>
      </w:r>
      <w:r w:rsidR="009B4D35" w:rsidRPr="00A25238">
        <w:rPr>
          <w:bCs/>
          <w:lang w:val="en-GB"/>
        </w:rPr>
        <w:t xml:space="preserve"> </w:t>
      </w:r>
      <w:r w:rsidR="00EB0617">
        <w:rPr>
          <w:bCs/>
          <w:lang w:val="en-GB"/>
        </w:rPr>
        <w:t>husband’s</w:t>
      </w:r>
      <w:r w:rsidR="009B4D35" w:rsidRPr="00A25238">
        <w:rPr>
          <w:bCs/>
          <w:lang w:val="en-GB"/>
        </w:rPr>
        <w:t xml:space="preserve"> </w:t>
      </w:r>
      <w:r w:rsidR="00EC64DD" w:rsidRPr="00A25238">
        <w:rPr>
          <w:bCs/>
          <w:lang w:val="en-GB"/>
        </w:rPr>
        <w:t>disappearance</w:t>
      </w:r>
      <w:r w:rsidR="009B4D35" w:rsidRPr="00A25238">
        <w:rPr>
          <w:bCs/>
          <w:lang w:val="en-GB"/>
        </w:rPr>
        <w:t xml:space="preserve"> and </w:t>
      </w:r>
      <w:r w:rsidR="00A04061">
        <w:rPr>
          <w:bCs/>
          <w:lang w:val="en-GB"/>
        </w:rPr>
        <w:t>killing</w:t>
      </w:r>
      <w:r w:rsidR="005551E0" w:rsidRPr="00A25238">
        <w:rPr>
          <w:lang w:val="en-GB"/>
        </w:rPr>
        <w:t>.</w:t>
      </w:r>
    </w:p>
    <w:p w:rsidR="002E28B8" w:rsidRPr="00A25238" w:rsidRDefault="002E28B8" w:rsidP="00D46FC7">
      <w:pPr>
        <w:tabs>
          <w:tab w:val="left" w:pos="360"/>
        </w:tabs>
        <w:suppressAutoHyphens/>
        <w:autoSpaceDE w:val="0"/>
        <w:jc w:val="both"/>
        <w:rPr>
          <w:b/>
          <w:bCs/>
          <w:lang w:val="en-GB"/>
        </w:rPr>
      </w:pPr>
    </w:p>
    <w:p w:rsidR="00B21A61" w:rsidRPr="00A25238" w:rsidRDefault="00D46FC7" w:rsidP="00D46FC7">
      <w:pPr>
        <w:suppressAutoHyphens/>
        <w:autoSpaceDE w:val="0"/>
        <w:jc w:val="both"/>
        <w:rPr>
          <w:b/>
          <w:bCs/>
          <w:lang w:val="en-GB"/>
        </w:rPr>
      </w:pPr>
      <w:r>
        <w:rPr>
          <w:b/>
          <w:color w:val="000000"/>
          <w:lang w:val="en-GB"/>
        </w:rPr>
        <w:t xml:space="preserve">1.  </w:t>
      </w:r>
      <w:r w:rsidR="00B21A61" w:rsidRPr="00A25238">
        <w:rPr>
          <w:b/>
          <w:color w:val="000000"/>
          <w:lang w:val="en-GB"/>
        </w:rPr>
        <w:t>T</w:t>
      </w:r>
      <w:r w:rsidR="00B21A61" w:rsidRPr="00A25238">
        <w:rPr>
          <w:b/>
          <w:bCs/>
          <w:lang w:val="en-GB"/>
        </w:rPr>
        <w:t xml:space="preserve">he </w:t>
      </w:r>
      <w:r w:rsidR="00B12B1D" w:rsidRPr="00A25238">
        <w:rPr>
          <w:b/>
          <w:bCs/>
          <w:lang w:val="en-GB"/>
        </w:rPr>
        <w:t>P</w:t>
      </w:r>
      <w:r w:rsidR="00B21A61" w:rsidRPr="00A25238">
        <w:rPr>
          <w:b/>
          <w:bCs/>
          <w:lang w:val="en-GB"/>
        </w:rPr>
        <w:t>arties’ submissions</w:t>
      </w:r>
    </w:p>
    <w:p w:rsidR="009E7E60" w:rsidRPr="00A25238" w:rsidRDefault="009E7E60" w:rsidP="00EC64DD">
      <w:pPr>
        <w:tabs>
          <w:tab w:val="left" w:pos="360"/>
        </w:tabs>
        <w:suppressAutoHyphens/>
        <w:autoSpaceDE w:val="0"/>
        <w:ind w:left="360" w:hanging="360"/>
        <w:jc w:val="both"/>
        <w:rPr>
          <w:bCs/>
          <w:lang w:val="en-GB"/>
        </w:rPr>
      </w:pPr>
    </w:p>
    <w:p w:rsidR="009F2F33" w:rsidRPr="0091161E" w:rsidRDefault="009F2F33" w:rsidP="00A840B5">
      <w:pPr>
        <w:numPr>
          <w:ilvl w:val="0"/>
          <w:numId w:val="6"/>
        </w:numPr>
        <w:suppressAutoHyphens/>
        <w:autoSpaceDE w:val="0"/>
        <w:jc w:val="both"/>
        <w:rPr>
          <w:bCs/>
          <w:lang w:val="en-GB"/>
        </w:rPr>
      </w:pPr>
      <w:r w:rsidRPr="00A25238">
        <w:rPr>
          <w:lang w:val="en-GB"/>
        </w:rPr>
        <w:t xml:space="preserve">The </w:t>
      </w:r>
      <w:r w:rsidRPr="00A25238">
        <w:rPr>
          <w:bCs/>
          <w:lang w:val="en-GB"/>
        </w:rPr>
        <w:t>complainant</w:t>
      </w:r>
      <w:r w:rsidRPr="00A25238">
        <w:rPr>
          <w:lang w:val="en-GB"/>
        </w:rPr>
        <w:t xml:space="preserve"> </w:t>
      </w:r>
      <w:r w:rsidR="00A04061">
        <w:rPr>
          <w:lang w:val="en-GB"/>
        </w:rPr>
        <w:t xml:space="preserve">in substance </w:t>
      </w:r>
      <w:r w:rsidRPr="00A25238">
        <w:rPr>
          <w:lang w:val="en-GB"/>
        </w:rPr>
        <w:t xml:space="preserve">alleges </w:t>
      </w:r>
      <w:r w:rsidR="0012508E" w:rsidRPr="00A25238">
        <w:rPr>
          <w:lang w:val="en-GB"/>
        </w:rPr>
        <w:t xml:space="preserve">violation </w:t>
      </w:r>
      <w:r w:rsidR="00DB2E6D" w:rsidRPr="00A25238">
        <w:rPr>
          <w:lang w:val="en-GB"/>
        </w:rPr>
        <w:t>through</w:t>
      </w:r>
      <w:r w:rsidRPr="00A25238">
        <w:rPr>
          <w:lang w:val="en-GB"/>
        </w:rPr>
        <w:t xml:space="preserve"> the lack of an adequate criminal investigation into the disappearance and </w:t>
      </w:r>
      <w:r w:rsidR="00A04061" w:rsidRPr="0091161E">
        <w:rPr>
          <w:lang w:val="en-GB"/>
        </w:rPr>
        <w:t>killing</w:t>
      </w:r>
      <w:r w:rsidRPr="0091161E">
        <w:rPr>
          <w:lang w:val="en-GB"/>
        </w:rPr>
        <w:t xml:space="preserve"> of </w:t>
      </w:r>
      <w:r w:rsidR="00B22B42" w:rsidRPr="0091161E">
        <w:rPr>
          <w:lang w:val="en-GB"/>
        </w:rPr>
        <w:t>her husband</w:t>
      </w:r>
      <w:r w:rsidR="00A40976" w:rsidRPr="0091161E">
        <w:rPr>
          <w:lang w:val="en-GB"/>
        </w:rPr>
        <w:t xml:space="preserve">. </w:t>
      </w:r>
      <w:r w:rsidRPr="0091161E">
        <w:rPr>
          <w:lang w:val="en-GB"/>
        </w:rPr>
        <w:t xml:space="preserve">The complainant also states that </w:t>
      </w:r>
      <w:r w:rsidR="00B22B42" w:rsidRPr="0091161E">
        <w:rPr>
          <w:lang w:val="en-GB"/>
        </w:rPr>
        <w:t>s</w:t>
      </w:r>
      <w:r w:rsidRPr="0091161E">
        <w:rPr>
          <w:lang w:val="en-GB"/>
        </w:rPr>
        <w:t xml:space="preserve">he was not informed as to whether an investigation was conducted and what the outcome was. </w:t>
      </w:r>
    </w:p>
    <w:p w:rsidR="00DF2EAB" w:rsidRPr="00A25238" w:rsidRDefault="00DF2EAB" w:rsidP="00EC64DD">
      <w:pPr>
        <w:pStyle w:val="ListParagraph"/>
        <w:tabs>
          <w:tab w:val="left" w:pos="360"/>
          <w:tab w:val="left" w:pos="1875"/>
        </w:tabs>
        <w:ind w:left="360" w:hanging="360"/>
        <w:rPr>
          <w:bCs/>
          <w:lang w:val="en-GB"/>
        </w:rPr>
      </w:pPr>
    </w:p>
    <w:p w:rsidR="00596F32" w:rsidRPr="0091161E" w:rsidRDefault="00D2187D" w:rsidP="00A840B5">
      <w:pPr>
        <w:numPr>
          <w:ilvl w:val="0"/>
          <w:numId w:val="6"/>
        </w:numPr>
        <w:suppressAutoHyphens/>
        <w:autoSpaceDE w:val="0"/>
        <w:jc w:val="both"/>
        <w:rPr>
          <w:lang w:val="en-GB"/>
        </w:rPr>
      </w:pPr>
      <w:bookmarkStart w:id="11" w:name="_Ref347846976"/>
      <w:r w:rsidRPr="0091161E">
        <w:rPr>
          <w:bCs/>
          <w:lang w:val="en-GB"/>
        </w:rPr>
        <w:t>The SRSG notes in his comments dated 27 June 20</w:t>
      </w:r>
      <w:r w:rsidR="00EB0617" w:rsidRPr="0091161E">
        <w:rPr>
          <w:bCs/>
          <w:lang w:val="en-GB"/>
        </w:rPr>
        <w:t>11</w:t>
      </w:r>
      <w:r w:rsidRPr="0091161E">
        <w:rPr>
          <w:bCs/>
          <w:lang w:val="en-GB"/>
        </w:rPr>
        <w:t xml:space="preserve"> that in this case UNMIK has been able to obtain a copy of the case file </w:t>
      </w:r>
      <w:r w:rsidR="008E1517" w:rsidRPr="0091161E">
        <w:rPr>
          <w:bCs/>
          <w:lang w:val="en-GB"/>
        </w:rPr>
        <w:t>compiled</w:t>
      </w:r>
      <w:r w:rsidRPr="0091161E">
        <w:rPr>
          <w:bCs/>
          <w:lang w:val="en-GB"/>
        </w:rPr>
        <w:t xml:space="preserve"> by UNMIK OMPF. However, “UNMIK has not been able to obtain any documents relating to the police in</w:t>
      </w:r>
      <w:r w:rsidR="008E1517" w:rsidRPr="0091161E">
        <w:rPr>
          <w:bCs/>
          <w:lang w:val="en-GB"/>
        </w:rPr>
        <w:t>vestigation from UNMIK Police or</w:t>
      </w:r>
      <w:r w:rsidRPr="0091161E">
        <w:rPr>
          <w:bCs/>
          <w:lang w:val="en-GB"/>
        </w:rPr>
        <w:t xml:space="preserve"> EULEX”. </w:t>
      </w:r>
    </w:p>
    <w:p w:rsidR="00596F32" w:rsidRDefault="00596F32" w:rsidP="00596F32">
      <w:pPr>
        <w:pStyle w:val="ListParagraph"/>
        <w:rPr>
          <w:highlight w:val="yellow"/>
          <w:lang w:val="en-GB"/>
        </w:rPr>
      </w:pPr>
    </w:p>
    <w:p w:rsidR="00596F32" w:rsidRPr="0091161E" w:rsidRDefault="008E1517" w:rsidP="00A840B5">
      <w:pPr>
        <w:numPr>
          <w:ilvl w:val="0"/>
          <w:numId w:val="6"/>
        </w:numPr>
        <w:suppressAutoHyphens/>
        <w:autoSpaceDE w:val="0"/>
        <w:jc w:val="both"/>
        <w:rPr>
          <w:lang w:val="en-GB"/>
        </w:rPr>
      </w:pPr>
      <w:r w:rsidRPr="0091161E">
        <w:rPr>
          <w:lang w:val="en-GB"/>
        </w:rPr>
        <w:t>T</w:t>
      </w:r>
      <w:r w:rsidR="006E7EFF" w:rsidRPr="0091161E">
        <w:rPr>
          <w:lang w:val="en-GB"/>
        </w:rPr>
        <w:t xml:space="preserve">he SRSG </w:t>
      </w:r>
      <w:r w:rsidRPr="0091161E">
        <w:rPr>
          <w:lang w:val="en-GB"/>
        </w:rPr>
        <w:t xml:space="preserve">further observes </w:t>
      </w:r>
      <w:r w:rsidR="006E7EFF" w:rsidRPr="0091161E">
        <w:rPr>
          <w:lang w:val="en-GB"/>
        </w:rPr>
        <w:t xml:space="preserve">that when </w:t>
      </w:r>
      <w:r w:rsidRPr="0091161E">
        <w:rPr>
          <w:lang w:val="en-GB"/>
        </w:rPr>
        <w:t>determining</w:t>
      </w:r>
      <w:r w:rsidR="006E7EFF" w:rsidRPr="0091161E">
        <w:rPr>
          <w:lang w:val="en-GB"/>
        </w:rPr>
        <w:t xml:space="preserve"> applications under Article 2 </w:t>
      </w:r>
      <w:r w:rsidRPr="0091161E">
        <w:rPr>
          <w:lang w:val="en-GB"/>
        </w:rPr>
        <w:t>c</w:t>
      </w:r>
      <w:r w:rsidR="006E7EFF" w:rsidRPr="0091161E">
        <w:rPr>
          <w:lang w:val="en-GB"/>
        </w:rPr>
        <w:t>onsideration must be given to not imposing</w:t>
      </w:r>
      <w:r w:rsidR="00596F32" w:rsidRPr="0091161E">
        <w:rPr>
          <w:lang w:val="en-GB"/>
        </w:rPr>
        <w:t xml:space="preserve"> </w:t>
      </w:r>
      <w:r w:rsidR="006E7EFF" w:rsidRPr="0091161E">
        <w:rPr>
          <w:lang w:val="en-GB"/>
        </w:rPr>
        <w:t xml:space="preserve">an impossible or disproportionate burden on UNMIK. </w:t>
      </w:r>
      <w:r w:rsidR="00596F32" w:rsidRPr="0091161E">
        <w:rPr>
          <w:lang w:val="en-GB"/>
        </w:rPr>
        <w:t xml:space="preserve">In this regard, the SRSG recalls the judgment of 15 February 2011 rendered by the European Court of Human Rights in the case </w:t>
      </w:r>
      <w:r w:rsidR="00596F32" w:rsidRPr="0091161E">
        <w:rPr>
          <w:i/>
          <w:lang w:val="en-GB"/>
        </w:rPr>
        <w:t>Palić v. Bosnia and Herzegovina</w:t>
      </w:r>
      <w:r w:rsidR="0091161E" w:rsidRPr="0091161E">
        <w:rPr>
          <w:lang w:val="en-GB"/>
        </w:rPr>
        <w:t>,</w:t>
      </w:r>
      <w:r w:rsidR="00596F32" w:rsidRPr="0091161E">
        <w:rPr>
          <w:lang w:val="en-GB"/>
        </w:rPr>
        <w:t xml:space="preserve"> stating at paragraph 70:</w:t>
      </w:r>
    </w:p>
    <w:p w:rsidR="00596F32" w:rsidRPr="000A3579" w:rsidRDefault="00596F32" w:rsidP="00596F32">
      <w:pPr>
        <w:pStyle w:val="ListParagraph"/>
        <w:rPr>
          <w:highlight w:val="yellow"/>
          <w:lang w:val="en-GB"/>
        </w:rPr>
      </w:pPr>
    </w:p>
    <w:p w:rsidR="00596F32" w:rsidRPr="0091161E" w:rsidRDefault="00596F32" w:rsidP="00596F32">
      <w:pPr>
        <w:suppressAutoHyphens/>
        <w:ind w:left="720"/>
        <w:jc w:val="both"/>
        <w:rPr>
          <w:lang w:val="en-GB"/>
        </w:rPr>
      </w:pPr>
      <w:r w:rsidRPr="0091161E">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96F32" w:rsidRPr="000A3579" w:rsidRDefault="00596F32" w:rsidP="00596F32">
      <w:pPr>
        <w:suppressAutoHyphens/>
        <w:jc w:val="both"/>
        <w:rPr>
          <w:highlight w:val="yellow"/>
          <w:lang w:val="en-GB"/>
        </w:rPr>
      </w:pPr>
    </w:p>
    <w:p w:rsidR="00720DD0" w:rsidRPr="0091161E" w:rsidRDefault="006E7EFF" w:rsidP="00A840B5">
      <w:pPr>
        <w:numPr>
          <w:ilvl w:val="0"/>
          <w:numId w:val="6"/>
        </w:numPr>
        <w:suppressAutoHyphens/>
        <w:autoSpaceDE w:val="0"/>
        <w:jc w:val="both"/>
        <w:rPr>
          <w:lang w:val="en-GB"/>
        </w:rPr>
      </w:pPr>
      <w:r w:rsidRPr="0091161E">
        <w:rPr>
          <w:lang w:val="en-GB"/>
        </w:rPr>
        <w:t>In</w:t>
      </w:r>
      <w:r w:rsidR="00596F32" w:rsidRPr="0091161E">
        <w:rPr>
          <w:lang w:val="en-GB"/>
        </w:rPr>
        <w:t xml:space="preserve"> this </w:t>
      </w:r>
      <w:r w:rsidR="008E1517" w:rsidRPr="0091161E">
        <w:rPr>
          <w:lang w:val="en-GB"/>
        </w:rPr>
        <w:t>respect</w:t>
      </w:r>
      <w:r w:rsidR="00596F32" w:rsidRPr="0091161E">
        <w:rPr>
          <w:lang w:val="en-GB"/>
        </w:rPr>
        <w:t xml:space="preserve"> the SRSG cites </w:t>
      </w:r>
      <w:r w:rsidRPr="0091161E">
        <w:rPr>
          <w:lang w:val="en-GB"/>
        </w:rPr>
        <w:t xml:space="preserve">the prevailing </w:t>
      </w:r>
      <w:r w:rsidR="00596F32" w:rsidRPr="0091161E">
        <w:rPr>
          <w:lang w:val="en-GB"/>
        </w:rPr>
        <w:t xml:space="preserve">circumstances </w:t>
      </w:r>
      <w:r w:rsidRPr="0091161E">
        <w:rPr>
          <w:lang w:val="en-GB"/>
        </w:rPr>
        <w:t xml:space="preserve">in Kosovo </w:t>
      </w:r>
      <w:r w:rsidR="00596F32" w:rsidRPr="0091161E">
        <w:rPr>
          <w:lang w:val="en-GB"/>
        </w:rPr>
        <w:t>after 1999</w:t>
      </w:r>
      <w:r w:rsidR="0086555D" w:rsidRPr="0091161E">
        <w:rPr>
          <w:lang w:val="en-GB"/>
        </w:rPr>
        <w:t xml:space="preserve"> and the challenges faced by UNMIK</w:t>
      </w:r>
      <w:r w:rsidR="00596F32" w:rsidRPr="0091161E">
        <w:rPr>
          <w:lang w:val="en-GB"/>
        </w:rPr>
        <w:t xml:space="preserve">. </w:t>
      </w:r>
      <w:r w:rsidR="00A507FF" w:rsidRPr="0091161E">
        <w:rPr>
          <w:lang w:val="en-GB"/>
        </w:rPr>
        <w:t>H</w:t>
      </w:r>
      <w:r w:rsidR="00596F32" w:rsidRPr="0091161E">
        <w:rPr>
          <w:lang w:val="en-GB"/>
        </w:rPr>
        <w:t>e recounts the large number of missing persons encountered b</w:t>
      </w:r>
      <w:r w:rsidR="00A507FF" w:rsidRPr="0091161E">
        <w:rPr>
          <w:lang w:val="en-GB"/>
        </w:rPr>
        <w:t xml:space="preserve">y </w:t>
      </w:r>
      <w:r w:rsidR="0091161E" w:rsidRPr="0091161E">
        <w:rPr>
          <w:lang w:val="en-GB"/>
        </w:rPr>
        <w:t xml:space="preserve">the </w:t>
      </w:r>
      <w:r w:rsidR="00A507FF" w:rsidRPr="0091161E">
        <w:rPr>
          <w:lang w:val="en-GB"/>
        </w:rPr>
        <w:t>UNMIK OMPF after the conflict,</w:t>
      </w:r>
      <w:r w:rsidR="00596F32" w:rsidRPr="0091161E">
        <w:rPr>
          <w:lang w:val="en-GB"/>
        </w:rPr>
        <w:t xml:space="preserve"> “UNMIK Office of Missing Persons and Forensics estimated the number of missing as 5602 in 2002”.  This</w:t>
      </w:r>
      <w:r w:rsidR="0091161E" w:rsidRPr="0091161E">
        <w:rPr>
          <w:lang w:val="en-GB"/>
        </w:rPr>
        <w:t>,</w:t>
      </w:r>
      <w:r w:rsidR="00596F32" w:rsidRPr="0091161E">
        <w:rPr>
          <w:lang w:val="en-GB"/>
        </w:rPr>
        <w:t xml:space="preserve"> according </w:t>
      </w:r>
      <w:r w:rsidR="008E1517" w:rsidRPr="0091161E">
        <w:rPr>
          <w:lang w:val="en-GB"/>
        </w:rPr>
        <w:t xml:space="preserve">to </w:t>
      </w:r>
      <w:r w:rsidR="00596F32" w:rsidRPr="0091161E">
        <w:rPr>
          <w:lang w:val="en-GB"/>
        </w:rPr>
        <w:t>the SRSG</w:t>
      </w:r>
      <w:r w:rsidR="0091161E" w:rsidRPr="0091161E">
        <w:rPr>
          <w:lang w:val="en-GB"/>
        </w:rPr>
        <w:t>,</w:t>
      </w:r>
      <w:r w:rsidR="00596F32" w:rsidRPr="0091161E">
        <w:rPr>
          <w:lang w:val="en-GB"/>
        </w:rPr>
        <w:t xml:space="preserve"> was compounded by the fact that 800,000 persons had been displaced and thousands killed.  As a consequence</w:t>
      </w:r>
      <w:r w:rsidR="0091161E" w:rsidRPr="0091161E">
        <w:rPr>
          <w:lang w:val="en-GB"/>
        </w:rPr>
        <w:t>,</w:t>
      </w:r>
      <w:r w:rsidR="00596F32" w:rsidRPr="0091161E">
        <w:rPr>
          <w:lang w:val="en-GB"/>
        </w:rPr>
        <w:t xml:space="preserve"> “establishing a system capable of dealing effectively with disappearances and other serious violations of international humanitarian law has been understandably </w:t>
      </w:r>
      <w:r w:rsidR="008E1517" w:rsidRPr="0091161E">
        <w:rPr>
          <w:lang w:val="en-GB"/>
        </w:rPr>
        <w:t xml:space="preserve">an </w:t>
      </w:r>
      <w:r w:rsidR="00596F32" w:rsidRPr="0091161E">
        <w:rPr>
          <w:lang w:val="en-GB"/>
        </w:rPr>
        <w:t>incremental one in the Kosovo context”.</w:t>
      </w:r>
    </w:p>
    <w:p w:rsidR="00720DD0" w:rsidRPr="00720DD0" w:rsidRDefault="00596F32" w:rsidP="00720DD0">
      <w:pPr>
        <w:suppressAutoHyphens/>
        <w:autoSpaceDE w:val="0"/>
        <w:ind w:left="360"/>
        <w:jc w:val="both"/>
        <w:rPr>
          <w:highlight w:val="yellow"/>
          <w:lang w:val="en-GB"/>
        </w:rPr>
      </w:pPr>
      <w:r>
        <w:rPr>
          <w:highlight w:val="yellow"/>
          <w:lang w:val="en-GB"/>
        </w:rPr>
        <w:t xml:space="preserve"> </w:t>
      </w:r>
      <w:bookmarkStart w:id="12" w:name="_Ref342314548"/>
      <w:bookmarkEnd w:id="11"/>
    </w:p>
    <w:p w:rsidR="00D91F29" w:rsidRPr="0091161E" w:rsidRDefault="00FA27C4" w:rsidP="00A840B5">
      <w:pPr>
        <w:numPr>
          <w:ilvl w:val="0"/>
          <w:numId w:val="6"/>
        </w:numPr>
        <w:suppressAutoHyphens/>
        <w:autoSpaceDE w:val="0"/>
        <w:jc w:val="both"/>
        <w:rPr>
          <w:bCs/>
          <w:lang w:val="en-GB"/>
        </w:rPr>
      </w:pPr>
      <w:r w:rsidRPr="0091161E">
        <w:rPr>
          <w:bCs/>
          <w:lang w:val="en-GB"/>
        </w:rPr>
        <w:t xml:space="preserve">The SRSG </w:t>
      </w:r>
      <w:r w:rsidR="00C96864" w:rsidRPr="0091161E">
        <w:rPr>
          <w:bCs/>
          <w:lang w:val="en-GB"/>
        </w:rPr>
        <w:t xml:space="preserve">also </w:t>
      </w:r>
      <w:r w:rsidRPr="0091161E">
        <w:rPr>
          <w:bCs/>
          <w:lang w:val="en-GB"/>
        </w:rPr>
        <w:t xml:space="preserve">highlights </w:t>
      </w:r>
      <w:r w:rsidR="0086555D" w:rsidRPr="0091161E">
        <w:rPr>
          <w:bCs/>
          <w:lang w:val="en-GB"/>
        </w:rPr>
        <w:t>the need</w:t>
      </w:r>
      <w:r w:rsidR="0091161E" w:rsidRPr="0091161E">
        <w:rPr>
          <w:bCs/>
          <w:lang w:val="en-GB"/>
        </w:rPr>
        <w:t xml:space="preserve"> that</w:t>
      </w:r>
      <w:r w:rsidR="0086555D" w:rsidRPr="0091161E">
        <w:rPr>
          <w:bCs/>
          <w:lang w:val="en-GB"/>
        </w:rPr>
        <w:t xml:space="preserve"> when </w:t>
      </w:r>
      <w:r w:rsidR="00720DD0" w:rsidRPr="0091161E">
        <w:rPr>
          <w:bCs/>
          <w:lang w:val="en-GB"/>
        </w:rPr>
        <w:t xml:space="preserve">conducting an effective investigation </w:t>
      </w:r>
      <w:r w:rsidR="0086555D" w:rsidRPr="0091161E">
        <w:rPr>
          <w:bCs/>
          <w:lang w:val="en-GB"/>
        </w:rPr>
        <w:t>to have a</w:t>
      </w:r>
      <w:r w:rsidR="00720DD0" w:rsidRPr="0091161E">
        <w:rPr>
          <w:bCs/>
          <w:lang w:val="en-GB"/>
        </w:rPr>
        <w:t xml:space="preserve"> professional</w:t>
      </w:r>
      <w:r w:rsidR="005B4210" w:rsidRPr="0091161E">
        <w:rPr>
          <w:bCs/>
          <w:lang w:val="en-GB"/>
        </w:rPr>
        <w:t xml:space="preserve"> police force</w:t>
      </w:r>
      <w:r w:rsidR="00720DD0" w:rsidRPr="0091161E">
        <w:rPr>
          <w:bCs/>
          <w:lang w:val="en-GB"/>
        </w:rPr>
        <w:t>, well trained and well resourced. He highlights that such a force did not exist in 1999 and consequently had to be established and developed.  As a result “there was a complete policing vacuum in Kosovo after the conflict”. The SRSG goes on to argue that this was compounded by the fact that the international police presence in Kosovo, consisti</w:t>
      </w:r>
      <w:r w:rsidR="0086555D" w:rsidRPr="0091161E">
        <w:rPr>
          <w:bCs/>
          <w:lang w:val="en-GB"/>
        </w:rPr>
        <w:t>ng of 20 different contributory nationalities with different working practices,</w:t>
      </w:r>
      <w:r w:rsidR="00720DD0" w:rsidRPr="0091161E">
        <w:rPr>
          <w:bCs/>
          <w:lang w:val="en-GB"/>
        </w:rPr>
        <w:t xml:space="preserve"> had to deal with a post conflict environment with limited</w:t>
      </w:r>
      <w:r w:rsidR="0086555D" w:rsidRPr="0091161E">
        <w:rPr>
          <w:bCs/>
          <w:lang w:val="en-GB"/>
        </w:rPr>
        <w:t xml:space="preserve"> local support. </w:t>
      </w:r>
      <w:r w:rsidR="00720DD0" w:rsidRPr="0091161E">
        <w:rPr>
          <w:bCs/>
          <w:lang w:val="en-GB"/>
        </w:rPr>
        <w:t xml:space="preserve"> </w:t>
      </w:r>
      <w:bookmarkEnd w:id="12"/>
    </w:p>
    <w:p w:rsidR="0086555D" w:rsidRDefault="0086555D" w:rsidP="0086555D">
      <w:pPr>
        <w:pStyle w:val="ListParagraph"/>
        <w:rPr>
          <w:bCs/>
          <w:lang w:val="en-GB"/>
        </w:rPr>
      </w:pPr>
    </w:p>
    <w:p w:rsidR="0086555D" w:rsidRPr="0091161E" w:rsidRDefault="0086555D" w:rsidP="00A840B5">
      <w:pPr>
        <w:numPr>
          <w:ilvl w:val="0"/>
          <w:numId w:val="6"/>
        </w:numPr>
        <w:suppressAutoHyphens/>
        <w:autoSpaceDE w:val="0"/>
        <w:jc w:val="both"/>
        <w:rPr>
          <w:bCs/>
          <w:lang w:val="en-GB"/>
        </w:rPr>
      </w:pPr>
      <w:r w:rsidRPr="0091161E">
        <w:rPr>
          <w:bCs/>
          <w:lang w:val="en-GB"/>
        </w:rPr>
        <w:t>Finally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w:t>
      </w:r>
      <w:r w:rsidR="00774E65" w:rsidRPr="0091161E">
        <w:rPr>
          <w:bCs/>
          <w:lang w:val="en-GB"/>
        </w:rPr>
        <w:t xml:space="preserve"> </w:t>
      </w:r>
      <w:r w:rsidR="0091161E" w:rsidRPr="0091161E">
        <w:rPr>
          <w:bCs/>
          <w:lang w:val="en-GB"/>
        </w:rPr>
        <w:t>Any</w:t>
      </w:r>
      <w:r w:rsidR="00774E65" w:rsidRPr="0091161E">
        <w:rPr>
          <w:bCs/>
          <w:lang w:val="en-GB"/>
        </w:rPr>
        <w:t xml:space="preserve"> investigation would struggle to make progress </w:t>
      </w:r>
      <w:r w:rsidR="00A507FF" w:rsidRPr="0091161E">
        <w:rPr>
          <w:bCs/>
          <w:lang w:val="en-GB"/>
        </w:rPr>
        <w:t>under</w:t>
      </w:r>
      <w:r w:rsidR="00774E65" w:rsidRPr="0091161E">
        <w:rPr>
          <w:bCs/>
          <w:lang w:val="en-GB"/>
        </w:rPr>
        <w:t xml:space="preserve"> such circumstances. The SRSG concludes th</w:t>
      </w:r>
      <w:r w:rsidR="00D46FC7" w:rsidRPr="0091161E">
        <w:rPr>
          <w:bCs/>
          <w:lang w:val="en-GB"/>
        </w:rPr>
        <w:t>at these practical constraints</w:t>
      </w:r>
      <w:r w:rsidR="00A507FF" w:rsidRPr="0091161E">
        <w:rPr>
          <w:bCs/>
          <w:lang w:val="en-GB"/>
        </w:rPr>
        <w:t xml:space="preserve"> </w:t>
      </w:r>
      <w:r w:rsidR="00D46FC7" w:rsidRPr="0091161E">
        <w:rPr>
          <w:bCs/>
          <w:lang w:val="en-GB"/>
        </w:rPr>
        <w:t xml:space="preserve">inhibited UNMIK </w:t>
      </w:r>
      <w:r w:rsidR="0091161E" w:rsidRPr="0091161E">
        <w:rPr>
          <w:bCs/>
          <w:lang w:val="en-GB"/>
        </w:rPr>
        <w:t xml:space="preserve">in </w:t>
      </w:r>
      <w:r w:rsidR="00D46FC7" w:rsidRPr="0091161E">
        <w:rPr>
          <w:bCs/>
          <w:lang w:val="en-GB"/>
        </w:rPr>
        <w:t xml:space="preserve">conducting </w:t>
      </w:r>
      <w:r w:rsidR="00774E65" w:rsidRPr="0091161E">
        <w:rPr>
          <w:bCs/>
          <w:lang w:val="en-GB"/>
        </w:rPr>
        <w:t xml:space="preserve">all investigations in a manner that would be expected </w:t>
      </w:r>
      <w:r w:rsidR="00D46FC7" w:rsidRPr="0091161E">
        <w:rPr>
          <w:bCs/>
          <w:lang w:val="en-GB"/>
        </w:rPr>
        <w:t>of</w:t>
      </w:r>
      <w:r w:rsidR="00774E65" w:rsidRPr="0091161E">
        <w:rPr>
          <w:bCs/>
          <w:lang w:val="en-GB"/>
        </w:rPr>
        <w:t xml:space="preserve"> states with more established institutions. </w:t>
      </w:r>
    </w:p>
    <w:p w:rsidR="0086555D" w:rsidRPr="00ED08B3" w:rsidRDefault="0086555D" w:rsidP="0086555D">
      <w:pPr>
        <w:pStyle w:val="ListParagraph"/>
        <w:rPr>
          <w:bCs/>
          <w:highlight w:val="yellow"/>
          <w:lang w:val="en-GB"/>
        </w:rPr>
      </w:pPr>
    </w:p>
    <w:p w:rsidR="00A840B5" w:rsidRPr="0091161E" w:rsidRDefault="00ED08B3" w:rsidP="00D46FC7">
      <w:pPr>
        <w:numPr>
          <w:ilvl w:val="0"/>
          <w:numId w:val="6"/>
        </w:numPr>
        <w:suppressAutoHyphens/>
        <w:autoSpaceDE w:val="0"/>
        <w:jc w:val="both"/>
        <w:rPr>
          <w:bCs/>
          <w:lang w:val="en-GB"/>
        </w:rPr>
      </w:pPr>
      <w:r w:rsidRPr="0091161E">
        <w:rPr>
          <w:bCs/>
          <w:lang w:val="en-GB"/>
        </w:rPr>
        <w:t xml:space="preserve">In the context of </w:t>
      </w:r>
      <w:r w:rsidR="00774E65" w:rsidRPr="0091161E">
        <w:rPr>
          <w:bCs/>
          <w:lang w:val="en-GB"/>
        </w:rPr>
        <w:t>the investigation</w:t>
      </w:r>
      <w:r w:rsidR="0091161E" w:rsidRPr="0091161E">
        <w:rPr>
          <w:bCs/>
          <w:lang w:val="en-GB"/>
        </w:rPr>
        <w:t>,</w:t>
      </w:r>
      <w:r w:rsidR="00774E65" w:rsidRPr="0091161E">
        <w:rPr>
          <w:bCs/>
          <w:lang w:val="en-GB"/>
        </w:rPr>
        <w:t xml:space="preserve"> the </w:t>
      </w:r>
      <w:r w:rsidRPr="0091161E">
        <w:rPr>
          <w:bCs/>
          <w:lang w:val="en-GB"/>
        </w:rPr>
        <w:t xml:space="preserve">SRSG highlights that “it is evident that UNMIK Police did </w:t>
      </w:r>
      <w:r w:rsidR="00774E65" w:rsidRPr="0091161E">
        <w:rPr>
          <w:bCs/>
          <w:lang w:val="en-GB"/>
        </w:rPr>
        <w:t>...</w:t>
      </w:r>
      <w:r w:rsidRPr="0091161E">
        <w:rPr>
          <w:bCs/>
          <w:lang w:val="en-GB"/>
        </w:rPr>
        <w:t xml:space="preserve"> pursue an investigation into the whereabouts of Mr. Nedeljković, which resulted in locating Mr. Nedeljković”. As a result</w:t>
      </w:r>
      <w:r w:rsidR="0091161E" w:rsidRPr="0091161E">
        <w:rPr>
          <w:bCs/>
          <w:lang w:val="en-GB"/>
        </w:rPr>
        <w:t>,</w:t>
      </w:r>
      <w:r w:rsidRPr="0091161E">
        <w:rPr>
          <w:bCs/>
          <w:lang w:val="en-GB"/>
        </w:rPr>
        <w:t xml:space="preserve"> he concludes that the necessary investigative efforts were made in accordance with the procedural requirements of Article 2. </w:t>
      </w:r>
    </w:p>
    <w:p w:rsidR="008D2DB9" w:rsidRDefault="008D2DB9" w:rsidP="00ED08B3">
      <w:pPr>
        <w:pStyle w:val="ListParagraph"/>
        <w:rPr>
          <w:bCs/>
          <w:lang w:val="en-GB"/>
        </w:rPr>
      </w:pPr>
    </w:p>
    <w:p w:rsidR="00831AA2" w:rsidRPr="00A25238" w:rsidRDefault="00B712F3" w:rsidP="00EC64DD">
      <w:pPr>
        <w:tabs>
          <w:tab w:val="left" w:pos="360"/>
        </w:tabs>
        <w:suppressAutoHyphens/>
        <w:autoSpaceDE w:val="0"/>
        <w:ind w:left="360" w:hanging="360"/>
        <w:jc w:val="both"/>
        <w:rPr>
          <w:b/>
          <w:bCs/>
          <w:lang w:val="en-GB"/>
        </w:rPr>
      </w:pPr>
      <w:r w:rsidRPr="00A25238">
        <w:rPr>
          <w:b/>
          <w:bCs/>
          <w:lang w:val="en-GB"/>
        </w:rPr>
        <w:t>2.</w:t>
      </w:r>
      <w:r w:rsidRPr="00A25238">
        <w:rPr>
          <w:b/>
          <w:bCs/>
          <w:lang w:val="en-GB"/>
        </w:rPr>
        <w:tab/>
      </w:r>
      <w:r w:rsidR="00831AA2" w:rsidRPr="00A25238">
        <w:rPr>
          <w:b/>
          <w:bCs/>
          <w:lang w:val="en-GB"/>
        </w:rPr>
        <w:t>The Panel’s Assessment</w:t>
      </w:r>
    </w:p>
    <w:p w:rsidR="00831AA2" w:rsidRDefault="00831AA2" w:rsidP="00EC64DD">
      <w:pPr>
        <w:tabs>
          <w:tab w:val="left" w:pos="360"/>
        </w:tabs>
        <w:suppressAutoHyphens/>
        <w:autoSpaceDE w:val="0"/>
        <w:ind w:left="360" w:hanging="360"/>
        <w:jc w:val="both"/>
        <w:rPr>
          <w:b/>
          <w:bCs/>
          <w:i/>
          <w:lang w:val="en-GB"/>
        </w:rPr>
      </w:pPr>
    </w:p>
    <w:p w:rsidR="00A04061" w:rsidRPr="00A5537A" w:rsidRDefault="00A04061" w:rsidP="00A840B5">
      <w:pPr>
        <w:numPr>
          <w:ilvl w:val="0"/>
          <w:numId w:val="6"/>
        </w:numPr>
        <w:suppressAutoHyphens/>
        <w:autoSpaceDE w:val="0"/>
        <w:jc w:val="both"/>
        <w:rPr>
          <w:bCs/>
          <w:lang w:val="en-GB"/>
        </w:rPr>
      </w:pPr>
      <w:r w:rsidRPr="00A5537A">
        <w:rPr>
          <w:bCs/>
          <w:lang w:val="en-GB"/>
        </w:rPr>
        <w:t xml:space="preserve">The Panel considers that the complainant invokes a violation of the procedural obligation stemming from the right to life, guaranteed by Article 2 of the European Convention on Human Rights (ECHR) in that </w:t>
      </w:r>
      <w:r w:rsidRPr="00A5537A">
        <w:rPr>
          <w:bCs/>
        </w:rPr>
        <w:t xml:space="preserve">UNMIK Police did not conduct an effective investigation into his father’s disappearance and </w:t>
      </w:r>
      <w:r>
        <w:rPr>
          <w:bCs/>
        </w:rPr>
        <w:t>killing</w:t>
      </w:r>
      <w:r w:rsidRPr="00A5537A">
        <w:rPr>
          <w:lang w:val="en-GB"/>
        </w:rPr>
        <w:t>.</w:t>
      </w:r>
    </w:p>
    <w:p w:rsidR="00A04061" w:rsidRPr="00A04061" w:rsidRDefault="00A04061" w:rsidP="00A04061">
      <w:pPr>
        <w:tabs>
          <w:tab w:val="left" w:pos="360"/>
        </w:tabs>
        <w:suppressAutoHyphens/>
        <w:autoSpaceDE w:val="0"/>
        <w:jc w:val="both"/>
        <w:rPr>
          <w:bCs/>
          <w:lang w:val="en-GB"/>
        </w:rPr>
      </w:pPr>
    </w:p>
    <w:p w:rsidR="002F65A0" w:rsidRPr="00A25238" w:rsidRDefault="002F65A0" w:rsidP="00EC64DD">
      <w:pPr>
        <w:pStyle w:val="ListParagraph"/>
        <w:numPr>
          <w:ilvl w:val="0"/>
          <w:numId w:val="35"/>
        </w:numPr>
        <w:tabs>
          <w:tab w:val="left" w:pos="360"/>
        </w:tabs>
        <w:suppressAutoHyphens w:val="0"/>
        <w:ind w:left="360"/>
        <w:contextualSpacing/>
        <w:jc w:val="both"/>
        <w:rPr>
          <w:i/>
          <w:color w:val="000000"/>
          <w:lang w:val="en-GB" w:eastAsia="en-US"/>
        </w:rPr>
      </w:pPr>
      <w:r w:rsidRPr="00A25238">
        <w:rPr>
          <w:i/>
          <w:color w:val="000000"/>
          <w:lang w:val="en-GB" w:eastAsia="en-US"/>
        </w:rPr>
        <w:t>Submission of relevant files</w:t>
      </w:r>
    </w:p>
    <w:p w:rsidR="00D759B4" w:rsidRPr="00A25238" w:rsidRDefault="00D759B4" w:rsidP="00EC64DD">
      <w:pPr>
        <w:tabs>
          <w:tab w:val="left" w:pos="360"/>
        </w:tabs>
        <w:ind w:left="360" w:hanging="360"/>
        <w:rPr>
          <w:bCs/>
          <w:lang w:val="en-GB"/>
        </w:rPr>
      </w:pPr>
    </w:p>
    <w:p w:rsidR="00A04061" w:rsidRPr="0091161E" w:rsidRDefault="0055213A" w:rsidP="00A840B5">
      <w:pPr>
        <w:numPr>
          <w:ilvl w:val="0"/>
          <w:numId w:val="6"/>
        </w:numPr>
        <w:suppressAutoHyphens/>
        <w:autoSpaceDE w:val="0"/>
        <w:jc w:val="both"/>
        <w:rPr>
          <w:lang w:val="en-GB"/>
        </w:rPr>
      </w:pPr>
      <w:r w:rsidRPr="0091161E">
        <w:rPr>
          <w:lang w:val="en-GB"/>
        </w:rPr>
        <w:t>As noted above</w:t>
      </w:r>
      <w:r w:rsidR="001A67D1" w:rsidRPr="0091161E">
        <w:rPr>
          <w:lang w:val="en-GB"/>
        </w:rPr>
        <w:t xml:space="preserve"> </w:t>
      </w:r>
      <w:r w:rsidR="00964A1A" w:rsidRPr="0091161E">
        <w:rPr>
          <w:lang w:val="en-GB"/>
        </w:rPr>
        <w:t xml:space="preserve">(see § </w:t>
      </w:r>
      <w:r w:rsidR="00D5327B">
        <w:rPr>
          <w:lang w:val="en-GB"/>
        </w:rPr>
        <w:t>22</w:t>
      </w:r>
      <w:r w:rsidR="00964A1A" w:rsidRPr="0091161E">
        <w:rPr>
          <w:lang w:val="en-GB"/>
        </w:rPr>
        <w:t xml:space="preserve"> above</w:t>
      </w:r>
      <w:r w:rsidR="001A67D1" w:rsidRPr="0091161E">
        <w:rPr>
          <w:lang w:val="en-GB"/>
        </w:rPr>
        <w:t>)</w:t>
      </w:r>
      <w:r w:rsidRPr="0091161E">
        <w:rPr>
          <w:lang w:val="en-GB"/>
        </w:rPr>
        <w:t>, UNMIK was not able to provide to the</w:t>
      </w:r>
      <w:r w:rsidR="00D46FC7" w:rsidRPr="0091161E">
        <w:rPr>
          <w:lang w:val="en-GB"/>
        </w:rPr>
        <w:t xml:space="preserve"> Panel any files related to the</w:t>
      </w:r>
      <w:r w:rsidR="00B33781" w:rsidRPr="0091161E">
        <w:rPr>
          <w:lang w:val="en-GB"/>
        </w:rPr>
        <w:t xml:space="preserve"> criminal </w:t>
      </w:r>
      <w:r w:rsidRPr="0091161E">
        <w:rPr>
          <w:lang w:val="en-GB"/>
        </w:rPr>
        <w:t xml:space="preserve">investigation into the disappearance and </w:t>
      </w:r>
      <w:r w:rsidR="00A04061" w:rsidRPr="0091161E">
        <w:rPr>
          <w:lang w:val="en-GB"/>
        </w:rPr>
        <w:t>killing</w:t>
      </w:r>
      <w:r w:rsidRPr="0091161E">
        <w:rPr>
          <w:lang w:val="en-GB"/>
        </w:rPr>
        <w:t xml:space="preserve"> of </w:t>
      </w:r>
      <w:r w:rsidR="00B33781" w:rsidRPr="0091161E">
        <w:rPr>
          <w:lang w:val="en-GB"/>
        </w:rPr>
        <w:t>Zoran Nedeljković</w:t>
      </w:r>
      <w:r w:rsidR="0091161E">
        <w:rPr>
          <w:lang w:val="en-GB"/>
        </w:rPr>
        <w:t>. On 25 February 2013, UNMIK stated that the disclosure of files concerning the case could be considered final.</w:t>
      </w:r>
    </w:p>
    <w:p w:rsidR="00A04061" w:rsidRDefault="00A04061" w:rsidP="00A04061">
      <w:pPr>
        <w:suppressAutoHyphens/>
        <w:autoSpaceDE w:val="0"/>
        <w:ind w:left="360"/>
        <w:jc w:val="both"/>
        <w:rPr>
          <w:lang w:val="en-GB"/>
        </w:rPr>
      </w:pPr>
    </w:p>
    <w:p w:rsidR="00811CF6" w:rsidRPr="00A04061" w:rsidRDefault="00A04061" w:rsidP="00A840B5">
      <w:pPr>
        <w:numPr>
          <w:ilvl w:val="0"/>
          <w:numId w:val="6"/>
        </w:numPr>
        <w:suppressAutoHyphens/>
        <w:autoSpaceDE w:val="0"/>
        <w:jc w:val="both"/>
        <w:rPr>
          <w:lang w:val="en-GB"/>
        </w:rPr>
      </w:pPr>
      <w:r w:rsidRPr="00A5537A">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04061">
        <w:rPr>
          <w:rStyle w:val="s7d2086b4"/>
          <w:i/>
        </w:rPr>
        <w:t xml:space="preserve">Çelikbilek </w:t>
      </w:r>
      <w:r w:rsidRPr="00A04061">
        <w:rPr>
          <w:i/>
        </w:rPr>
        <w:t>v. Turkey</w:t>
      </w:r>
      <w:r w:rsidRPr="00A5537A">
        <w:t xml:space="preserve">, </w:t>
      </w:r>
      <w:r w:rsidRPr="00A04061">
        <w:rPr>
          <w:color w:val="000000"/>
          <w:lang w:eastAsia="nl-BE"/>
        </w:rPr>
        <w:t>no. 27693/95, judgment of 31 May 2005</w:t>
      </w:r>
      <w:r w:rsidRPr="00A04061">
        <w:rPr>
          <w:i/>
          <w:iCs/>
          <w:color w:val="000000"/>
          <w:lang w:eastAsia="nl-BE"/>
        </w:rPr>
        <w:t>,</w:t>
      </w:r>
      <w:r w:rsidRPr="00A04061">
        <w:rPr>
          <w:iCs/>
          <w:color w:val="000000"/>
          <w:lang w:eastAsia="nl-BE"/>
        </w:rPr>
        <w:t xml:space="preserve"> § 56). </w:t>
      </w:r>
    </w:p>
    <w:p w:rsidR="00A04061" w:rsidRPr="00A04061" w:rsidRDefault="00A04061" w:rsidP="00A04061">
      <w:pPr>
        <w:tabs>
          <w:tab w:val="left" w:pos="360"/>
        </w:tabs>
        <w:suppressAutoHyphens/>
        <w:autoSpaceDE w:val="0"/>
        <w:jc w:val="both"/>
        <w:rPr>
          <w:lang w:val="en-GB"/>
        </w:rPr>
      </w:pPr>
    </w:p>
    <w:p w:rsidR="00D759B4" w:rsidRPr="00A25238" w:rsidRDefault="00A04061" w:rsidP="00A840B5">
      <w:pPr>
        <w:numPr>
          <w:ilvl w:val="0"/>
          <w:numId w:val="6"/>
        </w:numPr>
        <w:suppressAutoHyphens/>
        <w:jc w:val="both"/>
        <w:rPr>
          <w:lang w:val="en-GB"/>
        </w:rPr>
      </w:pPr>
      <w:r w:rsidRPr="00A5537A">
        <w:t xml:space="preserve">The Panel also notes that the proper maintenance of investigative files concerning crimes such as killings and disappearances, from the opening of investigations to their handing over, is crucial to the continuation of such investigations and failure to do so could thus raise </w:t>
      </w:r>
      <w:r w:rsidRPr="00A5537A">
        <w:rPr>
          <w:i/>
        </w:rPr>
        <w:t>per se</w:t>
      </w:r>
      <w:r w:rsidRPr="00A5537A">
        <w:t xml:space="preserve"> issue under Article 2. The Panel likewise notes that UNMIK has not provided any explanation for the lack of any documentation.</w:t>
      </w:r>
      <w:r w:rsidR="00D759B4" w:rsidRPr="00A25238">
        <w:rPr>
          <w:lang w:val="en-GB"/>
        </w:rPr>
        <w:t xml:space="preserve"> </w:t>
      </w:r>
    </w:p>
    <w:p w:rsidR="00D759B4" w:rsidRPr="00A25238" w:rsidRDefault="00D759B4" w:rsidP="00EC64DD">
      <w:pPr>
        <w:tabs>
          <w:tab w:val="left" w:pos="360"/>
        </w:tabs>
        <w:ind w:left="360" w:hanging="360"/>
        <w:jc w:val="both"/>
        <w:rPr>
          <w:lang w:val="en-GB"/>
        </w:rPr>
      </w:pPr>
    </w:p>
    <w:p w:rsidR="00A04061" w:rsidRPr="00A5537A" w:rsidRDefault="00A04061" w:rsidP="00A840B5">
      <w:pPr>
        <w:numPr>
          <w:ilvl w:val="0"/>
          <w:numId w:val="6"/>
        </w:numPr>
        <w:jc w:val="both"/>
      </w:pPr>
      <w:r w:rsidRPr="00A5537A">
        <w:t>The Panel has no reason to doubt that UNMIK undertook all efforts in order to obtain the relevant investigation files. However, despite ample time given to UNMIK for that purpose (</w:t>
      </w:r>
      <w:r w:rsidRPr="008B6C55">
        <w:t>almost</w:t>
      </w:r>
      <w:r w:rsidRPr="00A5537A">
        <w:t xml:space="preserve"> two years), neither files, nor a plausible explanation of the reasons for their complete absence, were presented to the Panel. Therefore, the Panel has no other course of action but to proceed with an examination of the merits of this complaint only on the basis of documents made available by the complainant and the scarce information provided UNMIK, and to draw inferences from this situation (in this sense, see ECtHR, </w:t>
      </w:r>
      <w:r w:rsidRPr="00A5537A">
        <w:rPr>
          <w:i/>
        </w:rPr>
        <w:t>Tsechoyev v. Russia</w:t>
      </w:r>
      <w:r w:rsidRPr="00A5537A">
        <w:t>, no. 39358/05, judgment of</w:t>
      </w:r>
      <w:r w:rsidRPr="00A5537A">
        <w:rPr>
          <w:i/>
        </w:rPr>
        <w:t xml:space="preserve"> </w:t>
      </w:r>
      <w:r w:rsidRPr="00A5537A">
        <w:t xml:space="preserve">15 March 2011, § 146). </w:t>
      </w:r>
    </w:p>
    <w:p w:rsidR="00A04061" w:rsidRPr="00A25238" w:rsidRDefault="00A04061" w:rsidP="00D46FC7">
      <w:pPr>
        <w:tabs>
          <w:tab w:val="left" w:pos="360"/>
        </w:tabs>
        <w:suppressAutoHyphens/>
        <w:autoSpaceDE w:val="0"/>
        <w:jc w:val="both"/>
        <w:rPr>
          <w:b/>
          <w:bCs/>
          <w:i/>
          <w:lang w:val="en-GB"/>
        </w:rPr>
      </w:pPr>
    </w:p>
    <w:p w:rsidR="00831AA2" w:rsidRPr="00A25238" w:rsidRDefault="00831AA2" w:rsidP="00EC64DD">
      <w:pPr>
        <w:pStyle w:val="ListParagraph"/>
        <w:numPr>
          <w:ilvl w:val="0"/>
          <w:numId w:val="35"/>
        </w:numPr>
        <w:tabs>
          <w:tab w:val="left" w:pos="360"/>
        </w:tabs>
        <w:suppressAutoHyphens w:val="0"/>
        <w:ind w:left="360"/>
        <w:contextualSpacing/>
        <w:jc w:val="both"/>
        <w:rPr>
          <w:i/>
          <w:color w:val="000000"/>
          <w:lang w:val="en-GB" w:eastAsia="en-US"/>
        </w:rPr>
      </w:pPr>
      <w:r w:rsidRPr="00A25238">
        <w:rPr>
          <w:i/>
          <w:color w:val="000000"/>
          <w:lang w:val="en-GB" w:eastAsia="en-US"/>
        </w:rPr>
        <w:t>General principles concerning the obligation to conduct an effective investigation under Article 2</w:t>
      </w:r>
    </w:p>
    <w:p w:rsidR="00FE4F38" w:rsidRPr="00A25238" w:rsidRDefault="00FE4F38" w:rsidP="00EC64DD">
      <w:pPr>
        <w:tabs>
          <w:tab w:val="left" w:pos="360"/>
        </w:tabs>
        <w:ind w:left="360" w:hanging="360"/>
        <w:rPr>
          <w:lang w:val="en-GB"/>
        </w:rPr>
      </w:pPr>
      <w:bookmarkStart w:id="13" w:name="_Ref342296803"/>
    </w:p>
    <w:p w:rsidR="00BE2B89" w:rsidRPr="00A25238" w:rsidRDefault="00A04061" w:rsidP="00A840B5">
      <w:pPr>
        <w:numPr>
          <w:ilvl w:val="0"/>
          <w:numId w:val="6"/>
        </w:numPr>
        <w:suppressAutoHyphens/>
        <w:autoSpaceDE w:val="0"/>
        <w:jc w:val="both"/>
        <w:rPr>
          <w:lang w:val="en-GB"/>
        </w:rPr>
      </w:pPr>
      <w:bookmarkStart w:id="14" w:name="_Ref347993393"/>
      <w:bookmarkEnd w:id="13"/>
      <w:r w:rsidRPr="00A5537A">
        <w:rPr>
          <w:lang w:val="en-GB"/>
        </w:rPr>
        <w:t xml:space="preserve">First, the Panel considers that the lack of any investigative files raises issues of the burden of proof. In this regard, the Panel refers to the approach of the </w:t>
      </w:r>
      <w:r w:rsidRPr="00A5537A">
        <w:rPr>
          <w:color w:val="000000"/>
        </w:rPr>
        <w:t>European Court on Human Rights as well as of the United Nations Human Rights Committee (HRC) on the matter</w:t>
      </w:r>
      <w:r w:rsidRPr="00A5537A">
        <w:rPr>
          <w:lang w:val="en-GB"/>
        </w:rPr>
        <w:t>. The general rule is that it is for the party who asserts a proposition of fact to prove it, but that this is not a rigid rule.</w:t>
      </w:r>
      <w:bookmarkEnd w:id="14"/>
    </w:p>
    <w:p w:rsidR="000A6899" w:rsidRPr="00A25238" w:rsidRDefault="000A6899" w:rsidP="00EC64DD">
      <w:pPr>
        <w:tabs>
          <w:tab w:val="left" w:pos="360"/>
        </w:tabs>
        <w:suppressAutoHyphens/>
        <w:autoSpaceDE w:val="0"/>
        <w:ind w:left="360" w:hanging="360"/>
        <w:jc w:val="both"/>
        <w:rPr>
          <w:lang w:val="en-GB"/>
        </w:rPr>
      </w:pPr>
    </w:p>
    <w:p w:rsidR="00696442" w:rsidRPr="00A25238" w:rsidRDefault="00A04061" w:rsidP="00A840B5">
      <w:pPr>
        <w:numPr>
          <w:ilvl w:val="0"/>
          <w:numId w:val="6"/>
        </w:numPr>
        <w:suppressAutoHyphens/>
        <w:autoSpaceDE w:val="0"/>
        <w:jc w:val="both"/>
        <w:rPr>
          <w:b/>
          <w:color w:val="0000CC"/>
          <w:lang w:val="en-GB"/>
        </w:rPr>
      </w:pPr>
      <w:bookmarkStart w:id="15" w:name="_Ref342296805"/>
      <w:r w:rsidRPr="00A5537A">
        <w:rPr>
          <w:lang w:val="en-GB"/>
        </w:rPr>
        <w:t xml:space="preserve">Following this general rule, at the admissibility stage an applicant must present facts, which are supportive of the allegations of the State’s responsibility, that is, to establish a </w:t>
      </w:r>
      <w:r w:rsidRPr="00A5537A">
        <w:rPr>
          <w:i/>
          <w:lang w:val="en-GB"/>
        </w:rPr>
        <w:t>prima facie</w:t>
      </w:r>
      <w:r w:rsidRPr="00A5537A">
        <w:rPr>
          <w:lang w:val="en-GB"/>
        </w:rPr>
        <w:t xml:space="preserve"> case against the authorities (see, </w:t>
      </w:r>
      <w:r w:rsidRPr="00A5537A">
        <w:rPr>
          <w:i/>
          <w:lang w:val="en-GB"/>
        </w:rPr>
        <w:t>mutatis mutandis</w:t>
      </w:r>
      <w:r w:rsidRPr="00A5537A">
        <w:rPr>
          <w:lang w:val="en-GB"/>
        </w:rPr>
        <w:t xml:space="preserve">, ECtHR, </w:t>
      </w:r>
      <w:r w:rsidRPr="00A5537A">
        <w:rPr>
          <w:i/>
          <w:iCs/>
        </w:rPr>
        <w:t>Artico v. Italy</w:t>
      </w:r>
      <w:r w:rsidRPr="00A5537A">
        <w:t xml:space="preserve">, no. 6694/74, judgment of 13 May 1980, §§ 29-30, Series A no. 37; ECtHR, </w:t>
      </w:r>
      <w:r w:rsidRPr="00A5537A">
        <w:rPr>
          <w:i/>
        </w:rPr>
        <w:t>Toğcu v. Turkey</w:t>
      </w:r>
      <w:r w:rsidRPr="00A5537A">
        <w:t xml:space="preserve">, no. 27601/95, judgment of 31 May 2005, § 95). However, the European Court further holds that </w:t>
      </w:r>
      <w:r w:rsidRPr="00A5537A">
        <w:rPr>
          <w:lang w:val="en-GB"/>
        </w:rPr>
        <w:t xml:space="preserve">“... </w:t>
      </w:r>
      <w:r w:rsidRPr="00A5537A">
        <w:t xml:space="preserve">where the events in issue lie wholly, or in large part, within the exclusive knowledge of the authorities … The burden of proof may then be </w:t>
      </w:r>
      <w:r w:rsidRPr="00C91DB9">
        <w:t>regarded as resting on the authorities to provide a satisfactory and convincing explanation” (</w:t>
      </w:r>
      <w:r w:rsidRPr="00C91DB9">
        <w:rPr>
          <w:lang w:val="en-GB"/>
        </w:rPr>
        <w:t xml:space="preserve">see ECtHR [GC], </w:t>
      </w:r>
      <w:r w:rsidRPr="00C91DB9">
        <w:rPr>
          <w:i/>
          <w:iCs/>
        </w:rPr>
        <w:t>Varnava and Others v Turkey</w:t>
      </w:r>
      <w:r w:rsidRPr="00C91DB9">
        <w:rPr>
          <w:iCs/>
        </w:rPr>
        <w:t>,</w:t>
      </w:r>
      <w:r w:rsidRPr="00C91DB9">
        <w:rPr>
          <w:i/>
          <w:iCs/>
        </w:rPr>
        <w:t xml:space="preserve"> </w:t>
      </w:r>
      <w:r w:rsidRPr="00C91DB9">
        <w:t xml:space="preserve">cited above in § </w:t>
      </w:r>
      <w:fldSimple w:instr=" REF _Ref346123885 \r \h  \* MERGEFORMAT ">
        <w:r w:rsidR="00CD172E">
          <w:t>40</w:t>
        </w:r>
      </w:fldSimple>
      <w:r w:rsidR="00127DD1">
        <w:t xml:space="preserve"> above</w:t>
      </w:r>
      <w:r w:rsidRPr="00C91DB9">
        <w:t>, at §§ 183-184).</w:t>
      </w:r>
      <w:bookmarkEnd w:id="15"/>
    </w:p>
    <w:p w:rsidR="0012508E" w:rsidRPr="00A25238" w:rsidRDefault="0012508E" w:rsidP="00EC64DD">
      <w:pPr>
        <w:tabs>
          <w:tab w:val="left" w:pos="360"/>
        </w:tabs>
        <w:suppressAutoHyphens/>
        <w:autoSpaceDE w:val="0"/>
        <w:ind w:left="360" w:hanging="360"/>
        <w:jc w:val="both"/>
        <w:rPr>
          <w:b/>
          <w:color w:val="0000CC"/>
          <w:lang w:val="en-GB"/>
        </w:rPr>
      </w:pPr>
    </w:p>
    <w:p w:rsidR="00F96434" w:rsidRPr="00A04061" w:rsidRDefault="00A04061" w:rsidP="00A840B5">
      <w:pPr>
        <w:numPr>
          <w:ilvl w:val="0"/>
          <w:numId w:val="6"/>
        </w:numPr>
        <w:suppressAutoHyphens/>
        <w:autoSpaceDE w:val="0"/>
        <w:jc w:val="both"/>
        <w:rPr>
          <w:lang w:val="en-GB"/>
        </w:rPr>
      </w:pPr>
      <w:r w:rsidRPr="00C91DB9">
        <w:rPr>
          <w:lang w:val="en-GB"/>
        </w:rPr>
        <w:t xml:space="preserve">The European Court also states that “... </w:t>
      </w:r>
      <w:r w:rsidRPr="00C91DB9">
        <w:t>it is for the Government either to argue conclusively why the documents in question cannot serve to corroborate the allegations made by the applicants</w:t>
      </w:r>
      <w:r w:rsidRPr="00A5537A">
        <w:t xml:space="preserve">, or to provide a satisfactory and convincing explanation of how the events in question occurred, failing which an issue under Article 2 and/or Article 3 of the Convention will arise” (see ECtHR, </w:t>
      </w:r>
      <w:r w:rsidRPr="00A5537A">
        <w:rPr>
          <w:i/>
          <w:iCs/>
        </w:rPr>
        <w:t>Akkum and Others v. Turkey</w:t>
      </w:r>
      <w:r w:rsidRPr="00A5537A">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A5537A">
        <w:rPr>
          <w:lang w:val="en-GB"/>
        </w:rPr>
        <w:t xml:space="preserve">see ECtHR, </w:t>
      </w:r>
      <w:r w:rsidRPr="00A5537A">
        <w:rPr>
          <w:i/>
          <w:iCs/>
        </w:rPr>
        <w:t>Varnava and Others v Turkey</w:t>
      </w:r>
      <w:r>
        <w:rPr>
          <w:iCs/>
        </w:rPr>
        <w:t xml:space="preserve"> [GC],</w:t>
      </w:r>
      <w:r w:rsidRPr="00A5537A">
        <w:rPr>
          <w:i/>
          <w:iCs/>
        </w:rPr>
        <w:t xml:space="preserve"> </w:t>
      </w:r>
      <w:r w:rsidRPr="00A5537A">
        <w:t>cited above, at § 184;</w:t>
      </w:r>
      <w:r w:rsidRPr="00A5537A">
        <w:rPr>
          <w:lang w:val="en-GB"/>
        </w:rPr>
        <w:t xml:space="preserve"> see also</w:t>
      </w:r>
      <w:r w:rsidRPr="00A5537A">
        <w:t>, HRC,</w:t>
      </w:r>
      <w:r w:rsidRPr="00A5537A">
        <w:rPr>
          <w:i/>
        </w:rPr>
        <w:t xml:space="preserve"> Benaniza v </w:t>
      </w:r>
      <w:r w:rsidRPr="00A5537A">
        <w:rPr>
          <w:i/>
          <w:lang w:val="en-GB"/>
        </w:rPr>
        <w:t>Algeria,</w:t>
      </w:r>
      <w:r w:rsidRPr="00A5537A">
        <w:rPr>
          <w:lang w:val="en-GB"/>
        </w:rPr>
        <w:t xml:space="preserve"> Views</w:t>
      </w:r>
      <w:r w:rsidRPr="00A5537A">
        <w:t xml:space="preserve"> of 26 July 2010, § 9.4, CCPR/C/99/D/1588/2007; HRC,</w:t>
      </w:r>
      <w:r w:rsidRPr="00A5537A">
        <w:rPr>
          <w:i/>
        </w:rPr>
        <w:t xml:space="preserve"> Bashasha</w:t>
      </w:r>
      <w:r w:rsidRPr="00A5537A">
        <w:rPr>
          <w:i/>
          <w:color w:val="000000"/>
        </w:rPr>
        <w:t xml:space="preserve"> v. Libyan Arab Jamahiriya</w:t>
      </w:r>
      <w:r w:rsidRPr="00A5537A">
        <w:rPr>
          <w:color w:val="000000"/>
        </w:rPr>
        <w:t>, Views of 20 October 2010, § 7.2, CCPR/C/100/D/1776/2008).</w:t>
      </w:r>
    </w:p>
    <w:p w:rsidR="003261AD" w:rsidRPr="00A25238" w:rsidRDefault="003261AD" w:rsidP="00EC64DD">
      <w:pPr>
        <w:tabs>
          <w:tab w:val="left" w:pos="360"/>
        </w:tabs>
        <w:suppressAutoHyphens/>
        <w:autoSpaceDE w:val="0"/>
        <w:ind w:left="360" w:hanging="360"/>
        <w:jc w:val="both"/>
        <w:rPr>
          <w:lang w:val="en-GB"/>
        </w:rPr>
      </w:pPr>
    </w:p>
    <w:p w:rsidR="0022364D" w:rsidRPr="00A04061" w:rsidRDefault="00A04061" w:rsidP="00A840B5">
      <w:pPr>
        <w:numPr>
          <w:ilvl w:val="0"/>
          <w:numId w:val="6"/>
        </w:numPr>
        <w:suppressAutoHyphens/>
        <w:autoSpaceDE w:val="0"/>
        <w:jc w:val="both"/>
        <w:rPr>
          <w:lang w:val="en-GB"/>
        </w:rPr>
      </w:pPr>
      <w:r w:rsidRPr="00A5537A">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A5537A">
        <w:rPr>
          <w:color w:val="000000"/>
          <w:lang w:val="en-GB"/>
        </w:rPr>
        <w:t>strong</w:t>
      </w:r>
      <w:r w:rsidRPr="00A5537A">
        <w:rPr>
          <w:lang w:val="en-GB"/>
        </w:rPr>
        <w:t xml:space="preserve"> inferences” may be drawn from lack of documentation</w:t>
      </w:r>
      <w:r w:rsidRPr="00A5537A">
        <w:t xml:space="preserve"> </w:t>
      </w:r>
      <w:r w:rsidRPr="00A5537A">
        <w:rPr>
          <w:lang w:val="en-GB"/>
        </w:rPr>
        <w:t>is applicable.</w:t>
      </w:r>
    </w:p>
    <w:p w:rsidR="00696442" w:rsidRPr="00A25238" w:rsidRDefault="00696442" w:rsidP="00EC64DD">
      <w:pPr>
        <w:tabs>
          <w:tab w:val="left" w:pos="360"/>
        </w:tabs>
        <w:suppressAutoHyphens/>
        <w:autoSpaceDE w:val="0"/>
        <w:ind w:left="360" w:hanging="360"/>
        <w:jc w:val="both"/>
        <w:rPr>
          <w:lang w:val="en-GB"/>
        </w:rPr>
      </w:pPr>
    </w:p>
    <w:p w:rsidR="0055213A" w:rsidRPr="00A25238" w:rsidRDefault="00A04061" w:rsidP="00A840B5">
      <w:pPr>
        <w:numPr>
          <w:ilvl w:val="0"/>
          <w:numId w:val="6"/>
        </w:numPr>
        <w:suppressAutoHyphens/>
        <w:autoSpaceDE w:val="0"/>
        <w:jc w:val="both"/>
        <w:rPr>
          <w:i/>
          <w:color w:val="000000"/>
          <w:lang w:val="en-GB"/>
        </w:rPr>
      </w:pPr>
      <w:bookmarkStart w:id="16" w:name="_Ref348512105"/>
      <w:r w:rsidRPr="00A5537A">
        <w:rPr>
          <w:color w:val="000000"/>
        </w:rPr>
        <w:t xml:space="preserve">Second, the Panel notes that the positive obligation to investigate disappearances is widely accepted in international human rights law since at least the case of the Inter-American Court of Human Rights (IACtHR) </w:t>
      </w:r>
      <w:r w:rsidRPr="00A5537A">
        <w:rPr>
          <w:i/>
          <w:color w:val="000000"/>
        </w:rPr>
        <w:t xml:space="preserve">Velásquez-Rodríguez </w:t>
      </w:r>
      <w:r w:rsidRPr="00A5537A">
        <w:rPr>
          <w:color w:val="000000"/>
        </w:rPr>
        <w:t xml:space="preserve">(see IACtHR, </w:t>
      </w:r>
      <w:r w:rsidRPr="00A5537A">
        <w:rPr>
          <w:i/>
          <w:color w:val="000000"/>
        </w:rPr>
        <w:t>Velásquez-Rodríguez v. Honduras</w:t>
      </w:r>
      <w:r w:rsidRPr="00A5537A">
        <w:rPr>
          <w:color w:val="000000"/>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Pr="00A5537A">
        <w:rPr>
          <w:lang w:val="en-GB"/>
        </w:rPr>
        <w:t>effective</w:t>
      </w:r>
      <w:r w:rsidRPr="00A5537A">
        <w:rPr>
          <w:color w:val="000000"/>
        </w:rPr>
        <w:t xml:space="preserve"> remedy) of the ICCPR</w:t>
      </w:r>
      <w:r w:rsidRPr="00A5537A">
        <w:rPr>
          <w:lang w:val="en-GB"/>
        </w:rPr>
        <w:t xml:space="preserve"> </w:t>
      </w:r>
      <w:r w:rsidRPr="00A5537A">
        <w:rPr>
          <w:color w:val="000000"/>
        </w:rPr>
        <w:t xml:space="preserve">(see HRC, General Comment No. 6, 30 April 1982, § 4; HRC, General Comment No. 31, 26 May 2004, §§ 8 and 18, CCPR/C/21/Rev.1/Add. 13; see also, among others, HRC, </w:t>
      </w:r>
      <w:r w:rsidRPr="00A5537A">
        <w:rPr>
          <w:i/>
          <w:color w:val="000000"/>
        </w:rPr>
        <w:t>Mohamed El Awani, v. Libyan Arab Jamahiriya</w:t>
      </w:r>
      <w:r w:rsidRPr="00A5537A">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6"/>
      <w:r w:rsidR="0055213A" w:rsidRPr="00A25238">
        <w:rPr>
          <w:color w:val="000000"/>
          <w:lang w:val="en-GB"/>
        </w:rPr>
        <w:t xml:space="preserve">  </w:t>
      </w:r>
    </w:p>
    <w:p w:rsidR="0055213A" w:rsidRPr="00A25238" w:rsidRDefault="0055213A" w:rsidP="00EC64DD">
      <w:pPr>
        <w:pStyle w:val="ListParagraph"/>
        <w:tabs>
          <w:tab w:val="left" w:pos="360"/>
        </w:tabs>
        <w:ind w:left="360" w:hanging="360"/>
        <w:jc w:val="both"/>
        <w:rPr>
          <w:color w:val="000000"/>
          <w:lang w:val="en-GB" w:eastAsia="en-US"/>
        </w:rPr>
      </w:pPr>
    </w:p>
    <w:p w:rsidR="0055213A" w:rsidRPr="00A25238" w:rsidRDefault="005F43FB" w:rsidP="00A840B5">
      <w:pPr>
        <w:numPr>
          <w:ilvl w:val="0"/>
          <w:numId w:val="6"/>
        </w:numPr>
        <w:suppressAutoHyphens/>
        <w:autoSpaceDE w:val="0"/>
        <w:jc w:val="both"/>
        <w:rPr>
          <w:color w:val="000000"/>
          <w:lang w:val="en-GB"/>
        </w:rPr>
      </w:pPr>
      <w:bookmarkStart w:id="17" w:name="_Ref347561805"/>
      <w:r w:rsidRPr="00A5537A">
        <w:rPr>
          <w:color w:val="000000"/>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w:t>
      </w:r>
      <w:r w:rsidRPr="00A5537A">
        <w:rPr>
          <w:lang w:val="en-GB"/>
        </w:rPr>
        <w:t>under</w:t>
      </w:r>
      <w:r w:rsidRPr="00A5537A">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A5537A">
        <w:rPr>
          <w:i/>
          <w:color w:val="000000"/>
        </w:rPr>
        <w:t>mutatis mutandis</w:t>
      </w:r>
      <w:r w:rsidRPr="00A5537A">
        <w:rPr>
          <w:color w:val="000000"/>
        </w:rPr>
        <w:t xml:space="preserve">, ECtHR, </w:t>
      </w:r>
      <w:r w:rsidRPr="00A5537A">
        <w:rPr>
          <w:i/>
          <w:color w:val="000000"/>
        </w:rPr>
        <w:t>McCann and Others v. the United Kingdom</w:t>
      </w:r>
      <w:r w:rsidRPr="00A5537A">
        <w:rPr>
          <w:color w:val="000000"/>
        </w:rPr>
        <w:t xml:space="preserve">, judgment of 27 September 1995, § 161, Series A no. 324; and ECtHR, </w:t>
      </w:r>
      <w:r w:rsidRPr="00A5537A">
        <w:rPr>
          <w:i/>
          <w:color w:val="000000"/>
        </w:rPr>
        <w:t>Kaya v. Turkey</w:t>
      </w:r>
      <w:r w:rsidRPr="00A5537A">
        <w:rPr>
          <w:color w:val="000000"/>
        </w:rPr>
        <w:t xml:space="preserve">, judgment of 19 February 1998, § 105, Reports 1998-I; see also ECtHR, </w:t>
      </w:r>
      <w:r w:rsidRPr="00A5537A">
        <w:rPr>
          <w:i/>
          <w:color w:val="000000"/>
        </w:rPr>
        <w:t>Jasinskis v. Latvia</w:t>
      </w:r>
      <w:r w:rsidRPr="00A5537A">
        <w:rPr>
          <w:color w:val="000000"/>
        </w:rPr>
        <w:t xml:space="preserve">, no. 45744/08, judgment of 21 December 2010, § 71). The duty to conduct such an investigation arises in all cases of killing and other suspicious death, whether the perpetrators were private persons or State agents or are unknown (see ECtHR, </w:t>
      </w:r>
      <w:r w:rsidRPr="00A5537A">
        <w:rPr>
          <w:i/>
          <w:color w:val="000000"/>
        </w:rPr>
        <w:t>Kolevi v. Bulgaria</w:t>
      </w:r>
      <w:r w:rsidRPr="00A5537A">
        <w:rPr>
          <w:color w:val="000000"/>
        </w:rPr>
        <w:t>, no. 1108/02, judgment of 5 November 2009, § 191).</w:t>
      </w:r>
      <w:bookmarkEnd w:id="17"/>
    </w:p>
    <w:p w:rsidR="00005EDC" w:rsidRPr="00A25238" w:rsidRDefault="00005EDC" w:rsidP="00EC64DD">
      <w:pPr>
        <w:pStyle w:val="ListParagraph"/>
        <w:tabs>
          <w:tab w:val="left" w:pos="360"/>
        </w:tabs>
        <w:suppressAutoHyphens w:val="0"/>
        <w:ind w:left="360" w:hanging="360"/>
        <w:contextualSpacing/>
        <w:jc w:val="both"/>
        <w:rPr>
          <w:color w:val="000000"/>
          <w:lang w:val="en-GB" w:eastAsia="en-US"/>
        </w:rPr>
      </w:pPr>
    </w:p>
    <w:p w:rsidR="0055213A" w:rsidRPr="00A25238" w:rsidRDefault="005F43FB" w:rsidP="00A840B5">
      <w:pPr>
        <w:numPr>
          <w:ilvl w:val="0"/>
          <w:numId w:val="6"/>
        </w:numPr>
        <w:suppressAutoHyphens/>
        <w:autoSpaceDE w:val="0"/>
        <w:jc w:val="both"/>
        <w:rPr>
          <w:color w:val="000000"/>
          <w:lang w:val="en-GB"/>
        </w:rPr>
      </w:pPr>
      <w:r w:rsidRPr="00A5537A">
        <w:rPr>
          <w:color w:val="000000"/>
        </w:rPr>
        <w:t xml:space="preserve">The European Court has also stated that the procedural obligation to provide some form of effective </w:t>
      </w:r>
      <w:r w:rsidRPr="00A5537A">
        <w:rPr>
          <w:lang w:val="en-GB"/>
        </w:rPr>
        <w:t>official</w:t>
      </w:r>
      <w:r w:rsidRPr="00A5537A">
        <w:rPr>
          <w:color w:val="000000"/>
        </w:rPr>
        <w:t xml:space="preserve"> investigation exists also when an individual has gone missing in life-threatening circumstances and is not confined to cases where it is apparent that the disappearance was caused by an agent of the State (see ECtHR [GC], </w:t>
      </w:r>
      <w:r w:rsidRPr="00A5537A">
        <w:rPr>
          <w:i/>
          <w:color w:val="000000"/>
        </w:rPr>
        <w:t>Varnava and Others v. Turkey</w:t>
      </w:r>
      <w:r w:rsidRPr="00A5537A">
        <w:rPr>
          <w:color w:val="000000"/>
        </w:rPr>
        <w:t>,</w:t>
      </w:r>
      <w:r w:rsidRPr="00A5537A">
        <w:t xml:space="preserve"> </w:t>
      </w:r>
      <w:r w:rsidRPr="00A5537A">
        <w:rPr>
          <w:color w:val="000000"/>
        </w:rPr>
        <w:t xml:space="preserve">cited in § </w:t>
      </w:r>
      <w:fldSimple w:instr=" REF _Ref346123885 \r \h  \* MERGEFORMAT ">
        <w:r w:rsidR="00CD172E" w:rsidRPr="00CD172E">
          <w:rPr>
            <w:color w:val="000000"/>
          </w:rPr>
          <w:t>40</w:t>
        </w:r>
      </w:fldSimple>
      <w:r w:rsidRPr="00A5537A">
        <w:rPr>
          <w:color w:val="000000"/>
        </w:rPr>
        <w:t xml:space="preserve"> above, at § 136).</w:t>
      </w:r>
    </w:p>
    <w:p w:rsidR="0055213A" w:rsidRPr="00A25238" w:rsidRDefault="0055213A" w:rsidP="00EC64DD">
      <w:pPr>
        <w:tabs>
          <w:tab w:val="left" w:pos="360"/>
        </w:tabs>
        <w:ind w:left="360" w:hanging="360"/>
        <w:rPr>
          <w:color w:val="000000"/>
          <w:lang w:val="en-GB"/>
        </w:rPr>
      </w:pPr>
    </w:p>
    <w:p w:rsidR="0055213A" w:rsidRPr="00A25238" w:rsidRDefault="005F43FB" w:rsidP="00A840B5">
      <w:pPr>
        <w:numPr>
          <w:ilvl w:val="0"/>
          <w:numId w:val="6"/>
        </w:numPr>
        <w:suppressAutoHyphens/>
        <w:autoSpaceDE w:val="0"/>
        <w:jc w:val="both"/>
        <w:rPr>
          <w:color w:val="000000"/>
          <w:lang w:val="en-GB"/>
        </w:rPr>
      </w:pPr>
      <w:bookmarkStart w:id="18" w:name="_Ref346723791"/>
      <w:r w:rsidRPr="00A5537A">
        <w:rPr>
          <w:color w:val="000000"/>
        </w:rPr>
        <w:t xml:space="preserve">The authorities must act of their own motion once the matter has come to their attention, and they cannot leave it to the initiative of the next-of-kin either to lodge a formal </w:t>
      </w:r>
      <w:r w:rsidRPr="00A5537A">
        <w:rPr>
          <w:lang w:val="en-GB"/>
        </w:rPr>
        <w:t>complaint</w:t>
      </w:r>
      <w:r w:rsidRPr="00A5537A">
        <w:rPr>
          <w:color w:val="000000"/>
        </w:rPr>
        <w:t xml:space="preserve"> or to take responsibility for the conduct of any investigative procedure (see ECtHR, </w:t>
      </w:r>
      <w:r w:rsidRPr="00A5537A">
        <w:rPr>
          <w:i/>
          <w:color w:val="000000"/>
        </w:rPr>
        <w:t>Ahmet Özkan and Others v. Turkey</w:t>
      </w:r>
      <w:r w:rsidRPr="00A5537A">
        <w:rPr>
          <w:color w:val="000000"/>
        </w:rPr>
        <w:t xml:space="preserve">, no. 21689/93, judgment of 6 April 2004, § 310; see also ECtHR, </w:t>
      </w:r>
      <w:r w:rsidRPr="00A5537A">
        <w:rPr>
          <w:i/>
          <w:color w:val="000000"/>
        </w:rPr>
        <w:t>Isayeva v. Russia</w:t>
      </w:r>
      <w:r w:rsidRPr="00A5537A">
        <w:rPr>
          <w:color w:val="000000"/>
        </w:rPr>
        <w:t>, no. 57950/00, judgment of 24 February 2005, § 210).</w:t>
      </w:r>
      <w:bookmarkEnd w:id="18"/>
      <w:r w:rsidR="0055213A" w:rsidRPr="00A25238">
        <w:rPr>
          <w:color w:val="000000"/>
          <w:lang w:val="en-GB"/>
        </w:rPr>
        <w:t xml:space="preserve"> </w:t>
      </w:r>
    </w:p>
    <w:p w:rsidR="00EE4D62" w:rsidRPr="00A25238" w:rsidRDefault="00EE4D62" w:rsidP="00EC64DD">
      <w:pPr>
        <w:tabs>
          <w:tab w:val="left" w:pos="360"/>
        </w:tabs>
        <w:suppressAutoHyphens/>
        <w:autoSpaceDE w:val="0"/>
        <w:ind w:left="360" w:hanging="360"/>
        <w:jc w:val="both"/>
        <w:rPr>
          <w:lang w:val="en-GB"/>
        </w:rPr>
      </w:pPr>
    </w:p>
    <w:p w:rsidR="0055213A" w:rsidRPr="00A25238" w:rsidRDefault="005F43FB" w:rsidP="00A840B5">
      <w:pPr>
        <w:numPr>
          <w:ilvl w:val="0"/>
          <w:numId w:val="6"/>
        </w:numPr>
        <w:suppressAutoHyphens/>
        <w:autoSpaceDE w:val="0"/>
        <w:jc w:val="both"/>
        <w:rPr>
          <w:color w:val="000000"/>
          <w:lang w:val="en-GB"/>
        </w:rPr>
      </w:pPr>
      <w:bookmarkStart w:id="19" w:name="_Ref346724174"/>
      <w:r w:rsidRPr="00A5537A">
        <w:rPr>
          <w:color w:val="000000"/>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537A">
        <w:rPr>
          <w:i/>
          <w:color w:val="000000"/>
        </w:rPr>
        <w:t>, Varnava and Others v. Turkey</w:t>
      </w:r>
      <w:r w:rsidRPr="00A5537A">
        <w:rPr>
          <w:color w:val="000000"/>
        </w:rPr>
        <w:t xml:space="preserve">, cited in § </w:t>
      </w:r>
      <w:fldSimple w:instr=" REF _Ref346123885 \r \h  \* MERGEFORMAT ">
        <w:r w:rsidR="00CD172E" w:rsidRPr="00CD172E">
          <w:rPr>
            <w:color w:val="000000"/>
          </w:rPr>
          <w:t>40</w:t>
        </w:r>
      </w:fldSimple>
      <w:r w:rsidRPr="00A5537A">
        <w:rPr>
          <w:color w:val="000000"/>
        </w:rPr>
        <w:t xml:space="preserve"> above, at § 191; see also ECtHR, </w:t>
      </w:r>
      <w:r w:rsidRPr="00A5537A">
        <w:rPr>
          <w:i/>
          <w:color w:val="000000"/>
        </w:rPr>
        <w:t>Palić v. Bosnia and Herzegovina</w:t>
      </w:r>
      <w:r w:rsidRPr="00A5537A">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537A">
        <w:rPr>
          <w:i/>
          <w:color w:val="000000"/>
        </w:rPr>
        <w:t>Ahmet Özkan and Others v. Turkey</w:t>
      </w:r>
      <w:r w:rsidRPr="00A5537A">
        <w:rPr>
          <w:color w:val="000000"/>
        </w:rPr>
        <w:t xml:space="preserve">, cited in § </w:t>
      </w:r>
      <w:fldSimple w:instr=" REF _Ref346723791 \r \h  \* MERGEFORMAT ">
        <w:r w:rsidR="00CD172E" w:rsidRPr="00CD172E">
          <w:rPr>
            <w:color w:val="000000"/>
          </w:rPr>
          <w:t>61</w:t>
        </w:r>
      </w:fldSimple>
      <w:r w:rsidRPr="00A5537A">
        <w:rPr>
          <w:color w:val="000000"/>
        </w:rPr>
        <w:t xml:space="preserve"> above, at § 312; and</w:t>
      </w:r>
      <w:r w:rsidRPr="00A5537A">
        <w:rPr>
          <w:i/>
          <w:color w:val="000000"/>
        </w:rPr>
        <w:t xml:space="preserve"> Isayeva v. Russia</w:t>
      </w:r>
      <w:r w:rsidRPr="00A5537A">
        <w:rPr>
          <w:color w:val="000000"/>
        </w:rPr>
        <w:t xml:space="preserve">, cited in § </w:t>
      </w:r>
      <w:fldSimple w:instr=" REF _Ref346723791 \r \h  \* MERGEFORMAT ">
        <w:r w:rsidR="00CD172E" w:rsidRPr="00CD172E">
          <w:rPr>
            <w:color w:val="000000"/>
          </w:rPr>
          <w:t>61</w:t>
        </w:r>
      </w:fldSimple>
      <w:r w:rsidRPr="00A5537A">
        <w:rPr>
          <w:color w:val="000000"/>
        </w:rPr>
        <w:t xml:space="preserve"> above, at § 212).</w:t>
      </w:r>
      <w:bookmarkEnd w:id="19"/>
      <w:r w:rsidR="0055213A" w:rsidRPr="00A25238">
        <w:rPr>
          <w:color w:val="000000"/>
          <w:lang w:val="en-GB"/>
        </w:rPr>
        <w:t xml:space="preserve"> </w:t>
      </w:r>
    </w:p>
    <w:p w:rsidR="00EE4D62" w:rsidRPr="00A25238" w:rsidRDefault="00EE4D62" w:rsidP="00EC64DD">
      <w:pPr>
        <w:tabs>
          <w:tab w:val="left" w:pos="360"/>
        </w:tabs>
        <w:suppressAutoHyphens/>
        <w:autoSpaceDE w:val="0"/>
        <w:ind w:left="360" w:hanging="360"/>
        <w:jc w:val="both"/>
        <w:rPr>
          <w:lang w:val="en-GB"/>
        </w:rPr>
      </w:pPr>
    </w:p>
    <w:p w:rsidR="00EE4D62" w:rsidRPr="00A25238" w:rsidRDefault="005F43FB" w:rsidP="00A840B5">
      <w:pPr>
        <w:numPr>
          <w:ilvl w:val="0"/>
          <w:numId w:val="6"/>
        </w:numPr>
        <w:suppressAutoHyphens/>
        <w:autoSpaceDE w:val="0"/>
        <w:jc w:val="both"/>
        <w:rPr>
          <w:lang w:val="en-GB"/>
        </w:rPr>
      </w:pPr>
      <w:r w:rsidRPr="00A5537A">
        <w:rPr>
          <w:color w:val="000000"/>
        </w:rPr>
        <w:t xml:space="preserve">In particular, the </w:t>
      </w:r>
      <w:r w:rsidRPr="00A5537A">
        <w:t>investigation’s conclusion must be based on thorough, objective and impartial analysis of all relevant elements. Failing</w:t>
      </w:r>
      <w:r w:rsidRPr="00A5537A">
        <w:rPr>
          <w:color w:val="000000"/>
        </w:rPr>
        <w:t xml:space="preserve"> to follow an obvious line of enquiry undermines to a decisive extent the investigation’s ability to establish the circumstances of the case and the identity of those responsible (see ECtHR, </w:t>
      </w:r>
      <w:r w:rsidRPr="00A5537A">
        <w:rPr>
          <w:i/>
          <w:color w:val="000000"/>
        </w:rPr>
        <w:t>Kolevi v. Bulgaria</w:t>
      </w:r>
      <w:r w:rsidRPr="00A5537A">
        <w:rPr>
          <w:color w:val="000000"/>
        </w:rPr>
        <w:t xml:space="preserve">, cited in § </w:t>
      </w:r>
      <w:fldSimple w:instr=" REF _Ref347561805 \r \h  \* MERGEFORMAT ">
        <w:r w:rsidR="00CD172E" w:rsidRPr="00CD172E">
          <w:rPr>
            <w:color w:val="000000"/>
          </w:rPr>
          <w:t>59</w:t>
        </w:r>
      </w:fldSimple>
      <w:r w:rsidRPr="00A5537A">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537A">
        <w:rPr>
          <w:i/>
          <w:color w:val="000000"/>
        </w:rPr>
        <w:t>Velcea and Maz</w:t>
      </w:r>
      <w:r w:rsidRPr="00A5537A">
        <w:rPr>
          <w:i/>
        </w:rPr>
        <w:t>ăre</w:t>
      </w:r>
      <w:r w:rsidRPr="00A5537A">
        <w:t xml:space="preserve"> </w:t>
      </w:r>
      <w:r w:rsidRPr="00A5537A">
        <w:rPr>
          <w:i/>
        </w:rPr>
        <w:t>v. Romania</w:t>
      </w:r>
      <w:r w:rsidRPr="00A5537A">
        <w:t>, no. 64301/01, judgment of 1 December 2009, § 105).</w:t>
      </w:r>
      <w:r w:rsidR="00831AA2" w:rsidRPr="00A25238">
        <w:rPr>
          <w:lang w:val="en-GB"/>
        </w:rPr>
        <w:t xml:space="preserve"> </w:t>
      </w:r>
    </w:p>
    <w:p w:rsidR="00EE4D62" w:rsidRPr="00A25238" w:rsidRDefault="00EE4D62" w:rsidP="00EC64DD">
      <w:pPr>
        <w:pStyle w:val="ListParagraph"/>
        <w:tabs>
          <w:tab w:val="left" w:pos="360"/>
        </w:tabs>
        <w:ind w:left="360" w:hanging="360"/>
        <w:rPr>
          <w:lang w:val="en-GB"/>
        </w:rPr>
      </w:pPr>
    </w:p>
    <w:p w:rsidR="00CE49C9" w:rsidRPr="00CE49C9" w:rsidRDefault="005F43FB" w:rsidP="00A840B5">
      <w:pPr>
        <w:numPr>
          <w:ilvl w:val="0"/>
          <w:numId w:val="6"/>
        </w:numPr>
        <w:suppressAutoHyphens/>
        <w:autoSpaceDE w:val="0"/>
        <w:jc w:val="both"/>
        <w:rPr>
          <w:lang w:val="en-GB"/>
        </w:rPr>
      </w:pPr>
      <w:bookmarkStart w:id="20" w:name="_Ref342300077"/>
      <w:r w:rsidRPr="00A5537A">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537A">
        <w:rPr>
          <w:i/>
        </w:rPr>
        <w:t>Palić v. Bosnia and Herzegovina</w:t>
      </w:r>
      <w:r w:rsidRPr="00A5537A">
        <w:t xml:space="preserve">, cited in § </w:t>
      </w:r>
      <w:fldSimple w:instr=" REF _Ref346724174 \r \h  \* MERGEFORMAT ">
        <w:r w:rsidR="00CD172E">
          <w:t>62</w:t>
        </w:r>
      </w:fldSimple>
      <w:r w:rsidRPr="00A5537A">
        <w:t xml:space="preserve"> above, at § 46; in the same sense ECtHR [GC], </w:t>
      </w:r>
      <w:r w:rsidRPr="00A5537A">
        <w:rPr>
          <w:i/>
        </w:rPr>
        <w:t>Varnava and Others v. Turkey</w:t>
      </w:r>
      <w:r w:rsidRPr="00A5537A">
        <w:t>, cited</w:t>
      </w:r>
      <w:r w:rsidRPr="00A5537A">
        <w:rPr>
          <w:color w:val="000000"/>
        </w:rPr>
        <w:t xml:space="preserve"> in § </w:t>
      </w:r>
      <w:fldSimple w:instr=" REF _Ref346123885 \r \h  \* MERGEFORMAT ">
        <w:r w:rsidR="00CD172E" w:rsidRPr="00CD172E">
          <w:rPr>
            <w:color w:val="000000"/>
          </w:rPr>
          <w:t>40</w:t>
        </w:r>
      </w:fldSimple>
      <w:r w:rsidRPr="00A5537A">
        <w:rPr>
          <w:color w:val="000000"/>
        </w:rPr>
        <w:t xml:space="preserve"> above, at </w:t>
      </w:r>
      <w:r w:rsidRPr="00A5537A">
        <w:t xml:space="preserve">§ 148, </w:t>
      </w:r>
      <w:r w:rsidRPr="00A5537A">
        <w:rPr>
          <w:i/>
          <w:color w:val="000000"/>
        </w:rPr>
        <w:t>Aslakhanova and Others v. Russia</w:t>
      </w:r>
      <w:r w:rsidRPr="00A5537A">
        <w:rPr>
          <w:color w:val="000000"/>
        </w:rPr>
        <w:t>, nos. 2944/06 and others, judgment of 18 December 2012, § 12</w:t>
      </w:r>
      <w:r w:rsidRPr="00A5537A">
        <w:rPr>
          <w:rFonts w:cs="CAGLHH+TimesNewRoman"/>
          <w:color w:val="000000"/>
          <w:lang w:val="en-GB"/>
        </w:rPr>
        <w:t>2</w:t>
      </w:r>
      <w:r w:rsidRPr="00A5537A">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537A">
        <w:rPr>
          <w:i/>
        </w:rPr>
        <w:t>Palić v. Bosnia and Herzegovina</w:t>
      </w:r>
      <w:r w:rsidRPr="00A5537A">
        <w:t xml:space="preserve">, cited above, at § 46; in the same sense ECtHR [GC], </w:t>
      </w:r>
      <w:r w:rsidRPr="00A5537A">
        <w:rPr>
          <w:i/>
        </w:rPr>
        <w:t>Varnava and Others v. Turkey</w:t>
      </w:r>
      <w:r w:rsidRPr="00A5537A">
        <w:t>, cited</w:t>
      </w:r>
      <w:r w:rsidRPr="00A5537A">
        <w:rPr>
          <w:color w:val="000000"/>
        </w:rPr>
        <w:t xml:space="preserve"> in § </w:t>
      </w:r>
      <w:fldSimple w:instr=" REF _Ref346123885 \r \h  \* MERGEFORMAT ">
        <w:r w:rsidR="00CD172E" w:rsidRPr="00CD172E">
          <w:rPr>
            <w:color w:val="000000"/>
          </w:rPr>
          <w:t>40</w:t>
        </w:r>
      </w:fldSimple>
      <w:r w:rsidRPr="00A5537A">
        <w:rPr>
          <w:color w:val="000000"/>
        </w:rPr>
        <w:t xml:space="preserve"> above, at </w:t>
      </w:r>
      <w:r w:rsidRPr="00A5537A">
        <w:t xml:space="preserve">§ 145). While the location and the subsequent identification of the mortal remains of the victim may in themselves be significant achievements, the procedural obligation under Article 2 continues to exist (see ECtHR, </w:t>
      </w:r>
      <w:r w:rsidRPr="00A5537A">
        <w:rPr>
          <w:i/>
        </w:rPr>
        <w:t>Palić v. Bosnia and Herzegovina</w:t>
      </w:r>
      <w:r w:rsidRPr="00A5537A">
        <w:t xml:space="preserve">, cited </w:t>
      </w:r>
      <w:r w:rsidR="00127DD1">
        <w:t xml:space="preserve">in </w:t>
      </w:r>
      <w:r w:rsidR="00127DD1" w:rsidRPr="00A5537A">
        <w:t>§</w:t>
      </w:r>
      <w:r w:rsidR="00127DD1">
        <w:t xml:space="preserve"> 62 a</w:t>
      </w:r>
      <w:r w:rsidRPr="00A5537A">
        <w:t>bove).</w:t>
      </w:r>
      <w:bookmarkStart w:id="21" w:name="_Ref347937166"/>
      <w:bookmarkEnd w:id="20"/>
    </w:p>
    <w:p w:rsidR="00CE49C9" w:rsidRDefault="00CE49C9" w:rsidP="00CE49C9">
      <w:pPr>
        <w:suppressAutoHyphens/>
        <w:autoSpaceDE w:val="0"/>
        <w:ind w:left="360"/>
        <w:jc w:val="both"/>
        <w:rPr>
          <w:lang w:val="en-GB"/>
        </w:rPr>
      </w:pPr>
    </w:p>
    <w:p w:rsidR="00CE49C9" w:rsidRPr="00D46FC7" w:rsidRDefault="005F43FB" w:rsidP="00D46FC7">
      <w:pPr>
        <w:numPr>
          <w:ilvl w:val="0"/>
          <w:numId w:val="6"/>
        </w:numPr>
        <w:suppressAutoHyphens/>
        <w:autoSpaceDE w:val="0"/>
        <w:jc w:val="both"/>
        <w:rPr>
          <w:lang w:val="en-GB"/>
        </w:rPr>
      </w:pPr>
      <w:r w:rsidRPr="00A5537A">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CE49C9">
        <w:rPr>
          <w:i/>
        </w:rPr>
        <w:t>Ahmet Özkan and Others</w:t>
      </w:r>
      <w:r w:rsidRPr="00A5537A">
        <w:t xml:space="preserve">, cited in § </w:t>
      </w:r>
      <w:fldSimple w:instr=" REF _Ref346723791 \r \h  \* MERGEFORMAT ">
        <w:r w:rsidR="00CD172E">
          <w:t>61</w:t>
        </w:r>
      </w:fldSimple>
      <w:r w:rsidRPr="00A5537A">
        <w:t xml:space="preserve"> above, at §§ 311</w:t>
      </w:r>
      <w:r w:rsidRPr="00A5537A">
        <w:noBreakHyphen/>
        <w:t xml:space="preserve">314; ECtHR, </w:t>
      </w:r>
      <w:r w:rsidRPr="00CE49C9">
        <w:rPr>
          <w:i/>
        </w:rPr>
        <w:t>Isayeva v. Russia</w:t>
      </w:r>
      <w:r w:rsidRPr="00A5537A">
        <w:t xml:space="preserve">, cited in § </w:t>
      </w:r>
      <w:fldSimple w:instr=" REF _Ref346723791 \r \h  \* MERGEFORMAT ">
        <w:r w:rsidR="00CD172E">
          <w:t>61</w:t>
        </w:r>
      </w:fldSimple>
      <w:r w:rsidRPr="00A5537A">
        <w:t xml:space="preserve"> above, at §§ 211-214 and the cases cited therein; ECtHR [GC], </w:t>
      </w:r>
      <w:r w:rsidRPr="00CE49C9">
        <w:rPr>
          <w:i/>
        </w:rPr>
        <w:t>Al-Skeini and Others v. the United Kingdom</w:t>
      </w:r>
      <w:r w:rsidRPr="00A5537A">
        <w:t>, judgment of 7 July 2011, no. 55721/07, § 167, ECHR 2011).</w:t>
      </w:r>
      <w:bookmarkEnd w:id="21"/>
    </w:p>
    <w:p w:rsidR="008D2DB9" w:rsidRDefault="008D2DB9" w:rsidP="00EC64DD">
      <w:pPr>
        <w:tabs>
          <w:tab w:val="left" w:pos="360"/>
        </w:tabs>
        <w:suppressAutoHyphens/>
        <w:ind w:left="360" w:hanging="360"/>
        <w:jc w:val="both"/>
        <w:rPr>
          <w:b/>
          <w:i/>
          <w:lang w:val="en-GB"/>
        </w:rPr>
      </w:pPr>
    </w:p>
    <w:p w:rsidR="00005EDC" w:rsidRDefault="00005EDC" w:rsidP="00EC64DD">
      <w:pPr>
        <w:pStyle w:val="ListParagraph"/>
        <w:numPr>
          <w:ilvl w:val="0"/>
          <w:numId w:val="35"/>
        </w:numPr>
        <w:tabs>
          <w:tab w:val="left" w:pos="360"/>
        </w:tabs>
        <w:suppressAutoHyphens w:val="0"/>
        <w:ind w:left="360"/>
        <w:contextualSpacing/>
        <w:jc w:val="both"/>
        <w:rPr>
          <w:i/>
          <w:color w:val="000000"/>
          <w:lang w:val="en-GB" w:eastAsia="en-US"/>
        </w:rPr>
      </w:pPr>
      <w:r w:rsidRPr="00A25238">
        <w:rPr>
          <w:i/>
          <w:color w:val="000000"/>
          <w:lang w:val="en-GB" w:eastAsia="en-US"/>
        </w:rPr>
        <w:t>Applicability of Article 2 to the Kosovo context</w:t>
      </w:r>
    </w:p>
    <w:p w:rsidR="008D2DB9" w:rsidRPr="00A25238" w:rsidRDefault="008D2DB9" w:rsidP="008D2DB9">
      <w:pPr>
        <w:pStyle w:val="ListParagraph"/>
        <w:tabs>
          <w:tab w:val="left" w:pos="360"/>
        </w:tabs>
        <w:suppressAutoHyphens w:val="0"/>
        <w:ind w:left="360"/>
        <w:contextualSpacing/>
        <w:jc w:val="both"/>
        <w:rPr>
          <w:i/>
          <w:color w:val="000000"/>
          <w:lang w:val="en-GB" w:eastAsia="en-US"/>
        </w:rPr>
      </w:pPr>
    </w:p>
    <w:p w:rsidR="00005EDC" w:rsidRPr="00A25238" w:rsidRDefault="00005EDC" w:rsidP="00A840B5">
      <w:pPr>
        <w:pStyle w:val="ListParagraph"/>
        <w:numPr>
          <w:ilvl w:val="0"/>
          <w:numId w:val="6"/>
        </w:numPr>
        <w:suppressAutoHyphens w:val="0"/>
        <w:contextualSpacing/>
        <w:jc w:val="both"/>
        <w:rPr>
          <w:color w:val="000000"/>
          <w:lang w:val="en-GB" w:eastAsia="en-US"/>
        </w:rPr>
      </w:pPr>
      <w:r w:rsidRPr="00A25238">
        <w:rPr>
          <w:color w:val="000000"/>
          <w:lang w:val="en-GB" w:eastAsia="en-US"/>
        </w:rPr>
        <w:t xml:space="preserve">The Panel is conscious that the </w:t>
      </w:r>
      <w:r w:rsidR="00003EE4" w:rsidRPr="00A25238">
        <w:rPr>
          <w:color w:val="000000"/>
          <w:lang w:val="en-GB" w:eastAsia="en-US"/>
        </w:rPr>
        <w:t>disappearance</w:t>
      </w:r>
      <w:r w:rsidRPr="00A25238">
        <w:rPr>
          <w:color w:val="000000"/>
          <w:lang w:val="en-GB" w:eastAsia="en-US"/>
        </w:rPr>
        <w:t xml:space="preserve"> and </w:t>
      </w:r>
      <w:r w:rsidR="00A04061">
        <w:rPr>
          <w:color w:val="000000"/>
          <w:lang w:val="en-GB" w:eastAsia="en-US"/>
        </w:rPr>
        <w:t>killing</w:t>
      </w:r>
      <w:r w:rsidR="00003EE4" w:rsidRPr="00A25238">
        <w:rPr>
          <w:color w:val="000000"/>
          <w:lang w:val="en-GB" w:eastAsia="en-US"/>
        </w:rPr>
        <w:t xml:space="preserve"> of</w:t>
      </w:r>
      <w:r w:rsidRPr="00A25238">
        <w:rPr>
          <w:color w:val="000000"/>
          <w:lang w:val="en-GB" w:eastAsia="en-US"/>
        </w:rPr>
        <w:t xml:space="preserve"> </w:t>
      </w:r>
      <w:r w:rsidR="00852A10" w:rsidRPr="008B6C55">
        <w:rPr>
          <w:lang w:val="en-GB"/>
        </w:rPr>
        <w:t>Zoran Nedeljković</w:t>
      </w:r>
      <w:r w:rsidRPr="00A25238">
        <w:rPr>
          <w:lang w:val="en-GB"/>
        </w:rPr>
        <w:t xml:space="preserve"> occurred shortly after the deployment of UNMIK in Kosovo in the immediate aftermath of the armed conflict, when crime, violence and insecurity were rife. </w:t>
      </w:r>
    </w:p>
    <w:p w:rsidR="00005EDC" w:rsidRPr="00A25238" w:rsidRDefault="00005EDC" w:rsidP="00EC64DD">
      <w:pPr>
        <w:pStyle w:val="ListParagraph"/>
        <w:tabs>
          <w:tab w:val="left" w:pos="360"/>
        </w:tabs>
        <w:ind w:left="360" w:hanging="360"/>
        <w:jc w:val="both"/>
        <w:rPr>
          <w:color w:val="000000"/>
          <w:lang w:val="en-GB" w:eastAsia="en-US"/>
        </w:rPr>
      </w:pPr>
    </w:p>
    <w:p w:rsidR="00003EE4" w:rsidRPr="00A25238" w:rsidRDefault="00003EE4" w:rsidP="00A840B5">
      <w:pPr>
        <w:pStyle w:val="ListParagraph"/>
        <w:numPr>
          <w:ilvl w:val="0"/>
          <w:numId w:val="6"/>
        </w:numPr>
        <w:suppressAutoHyphens w:val="0"/>
        <w:contextualSpacing/>
        <w:jc w:val="both"/>
        <w:rPr>
          <w:color w:val="000000"/>
          <w:lang w:val="en-GB" w:eastAsia="en-US"/>
        </w:rPr>
      </w:pPr>
      <w:r w:rsidRPr="00A25238">
        <w:rPr>
          <w:lang w:val="en-GB"/>
        </w:rPr>
        <w:t>On his part, the SRSG does not contest that UNMIK had a duty to investigate the present case under Article 2</w:t>
      </w:r>
      <w:r w:rsidR="006671A9" w:rsidRPr="00A25238">
        <w:rPr>
          <w:lang w:val="en-GB"/>
        </w:rPr>
        <w:t xml:space="preserve"> of the ECHR</w:t>
      </w:r>
      <w:r w:rsidRPr="00A25238">
        <w:rPr>
          <w:lang w:val="en-GB"/>
        </w:rPr>
        <w:t xml:space="preserve">. </w:t>
      </w:r>
      <w:r w:rsidRPr="005F43FB">
        <w:rPr>
          <w:lang w:val="en-GB"/>
        </w:rPr>
        <w:t>However, according to the SRSG, the unique circumstances pertaining to the Kosovo context</w:t>
      </w:r>
      <w:r w:rsidRPr="00A25238">
        <w:rPr>
          <w:lang w:val="en-GB"/>
        </w:rPr>
        <w:t xml:space="preserve"> </w:t>
      </w:r>
      <w:r w:rsidR="005F43FB" w:rsidRPr="00A5537A">
        <w:t xml:space="preserve">and to UNMIK’s deployment in the first phase of its mission </w:t>
      </w:r>
      <w:r w:rsidRPr="00A25238">
        <w:rPr>
          <w:lang w:val="en-GB"/>
        </w:rPr>
        <w:t xml:space="preserve">shall be taken into account when assessing whether this investigation is in compliance with Article 2 of the ECHR. In substance, the SRSG argues that it is not possible to apply to UNMIK the </w:t>
      </w:r>
      <w:r w:rsidR="00D46FC7">
        <w:rPr>
          <w:lang w:val="en-GB"/>
        </w:rPr>
        <w:t>same standards applicable to a s</w:t>
      </w:r>
      <w:r w:rsidRPr="00A25238">
        <w:rPr>
          <w:lang w:val="en-GB"/>
        </w:rPr>
        <w:t xml:space="preserve">tate in a normal situation. </w:t>
      </w:r>
    </w:p>
    <w:p w:rsidR="00005EDC" w:rsidRPr="00A25238" w:rsidRDefault="00005EDC" w:rsidP="00EC64DD">
      <w:pPr>
        <w:pStyle w:val="ListParagraph"/>
        <w:tabs>
          <w:tab w:val="left" w:pos="360"/>
        </w:tabs>
        <w:ind w:left="360" w:hanging="360"/>
        <w:rPr>
          <w:color w:val="000000"/>
          <w:lang w:val="en-GB" w:eastAsia="en-US"/>
        </w:rPr>
      </w:pPr>
    </w:p>
    <w:p w:rsidR="00003EE4" w:rsidRPr="00A25238" w:rsidRDefault="005F43FB" w:rsidP="00A840B5">
      <w:pPr>
        <w:pStyle w:val="ListParagraph"/>
        <w:numPr>
          <w:ilvl w:val="0"/>
          <w:numId w:val="6"/>
        </w:numPr>
        <w:suppressAutoHyphens w:val="0"/>
        <w:contextualSpacing/>
        <w:jc w:val="both"/>
        <w:rPr>
          <w:color w:val="000000"/>
          <w:lang w:val="en-GB" w:eastAsia="en-US"/>
        </w:rPr>
      </w:pPr>
      <w:r w:rsidRPr="00A5537A">
        <w:rPr>
          <w:color w:val="000000"/>
          <w:lang w:eastAsia="en-US"/>
        </w:rPr>
        <w:t xml:space="preserve">The Panel </w:t>
      </w:r>
      <w:r w:rsidRPr="00A5537A">
        <w:t>considers</w:t>
      </w:r>
      <w:r w:rsidRPr="00A5537A">
        <w:rPr>
          <w:color w:val="000000"/>
          <w:lang w:eastAsia="en-US"/>
        </w:rPr>
        <w:t xml:space="preserve"> that the SRSG’s arguments raise two main questions: first, whether the standards of Article 2 continue to apply in situation of conflict or generalised violence and, secondly, whether such standards shall be considered fully applicable to UNMIK, in particular during the first phase of its mission.</w:t>
      </w:r>
    </w:p>
    <w:p w:rsidR="00003EE4" w:rsidRPr="00A25238" w:rsidRDefault="00003EE4" w:rsidP="00EC64DD">
      <w:pPr>
        <w:pStyle w:val="ListParagraph"/>
        <w:tabs>
          <w:tab w:val="left" w:pos="360"/>
        </w:tabs>
        <w:ind w:left="360" w:hanging="360"/>
        <w:rPr>
          <w:color w:val="000000"/>
          <w:lang w:val="en-GB" w:eastAsia="en-US"/>
        </w:rPr>
      </w:pPr>
    </w:p>
    <w:p w:rsidR="00003EE4" w:rsidRPr="00A25238" w:rsidRDefault="005F43FB" w:rsidP="00A840B5">
      <w:pPr>
        <w:pStyle w:val="ListParagraph"/>
        <w:numPr>
          <w:ilvl w:val="0"/>
          <w:numId w:val="6"/>
        </w:numPr>
        <w:suppressAutoHyphens w:val="0"/>
        <w:contextualSpacing/>
        <w:jc w:val="both"/>
        <w:rPr>
          <w:color w:val="000000"/>
          <w:lang w:val="en-GB" w:eastAsia="en-US"/>
        </w:rPr>
      </w:pPr>
      <w:r w:rsidRPr="00A5537A">
        <w:rPr>
          <w:color w:val="000000"/>
          <w:lang w:eastAsia="en-US"/>
        </w:rPr>
        <w:t xml:space="preserve">As regards the applicability of Article 2 to UNMIK, the Panel recalls </w:t>
      </w:r>
      <w:r w:rsidRPr="00A5537A">
        <w:rPr>
          <w:color w:val="000000"/>
          <w:lang w:eastAsia="nl-BE"/>
        </w:rPr>
        <w:t xml:space="preserve">that with the adoption of the UNMIK Regulation No. 1999/1 on 25 July 1999 UNMIK undertook an obligation to observe internationally recognised human rights standards in exercising its </w:t>
      </w:r>
      <w:r w:rsidRPr="00A5537A">
        <w:t>functions</w:t>
      </w:r>
      <w:r w:rsidRPr="00A5537A">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A5537A">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A5537A">
        <w:rPr>
          <w:i/>
        </w:rPr>
        <w:t>Milogorić</w:t>
      </w:r>
      <w:r w:rsidRPr="00A5537A">
        <w:t xml:space="preserve"> </w:t>
      </w:r>
      <w:r w:rsidRPr="00A5537A">
        <w:rPr>
          <w:i/>
        </w:rPr>
        <w:t>and Others,</w:t>
      </w:r>
      <w:r w:rsidRPr="00A5537A">
        <w:t xml:space="preserve"> nos. 38/08 and others, opinion of 24 March 2011, § 44; </w:t>
      </w:r>
      <w:r w:rsidRPr="00A5537A">
        <w:rPr>
          <w:i/>
        </w:rPr>
        <w:t>Berisha and Others,</w:t>
      </w:r>
      <w:r w:rsidRPr="00A5537A">
        <w:t xml:space="preserve"> nos. 27/08 and others, opinion of 23 February 2011,</w:t>
      </w:r>
      <w:r w:rsidRPr="00A5537A">
        <w:rPr>
          <w:i/>
        </w:rPr>
        <w:t xml:space="preserve"> </w:t>
      </w:r>
      <w:r w:rsidRPr="00A5537A">
        <w:t xml:space="preserve">§ 25; </w:t>
      </w:r>
      <w:r w:rsidRPr="00A5537A">
        <w:rPr>
          <w:i/>
        </w:rPr>
        <w:t>Lalić and Others</w:t>
      </w:r>
      <w:r w:rsidRPr="00A5537A">
        <w:t>, nos. 09/08 and others, opinion of 9 June 2012, § 22).</w:t>
      </w:r>
    </w:p>
    <w:p w:rsidR="00005EDC" w:rsidRPr="00A25238" w:rsidRDefault="00005EDC" w:rsidP="00EC64DD">
      <w:pPr>
        <w:tabs>
          <w:tab w:val="left" w:pos="360"/>
        </w:tabs>
        <w:ind w:left="360" w:hanging="360"/>
        <w:jc w:val="both"/>
        <w:rPr>
          <w:color w:val="000000"/>
          <w:lang w:val="en-GB"/>
        </w:rPr>
      </w:pPr>
    </w:p>
    <w:p w:rsidR="00005EDC" w:rsidRPr="00A25238" w:rsidRDefault="005F43FB" w:rsidP="00A840B5">
      <w:pPr>
        <w:pStyle w:val="ListParagraph"/>
        <w:numPr>
          <w:ilvl w:val="0"/>
          <w:numId w:val="6"/>
        </w:numPr>
        <w:suppressAutoHyphens w:val="0"/>
        <w:contextualSpacing/>
        <w:jc w:val="both"/>
        <w:rPr>
          <w:color w:val="000000"/>
          <w:lang w:val="en-GB" w:eastAsia="en-US"/>
        </w:rPr>
      </w:pPr>
      <w:r w:rsidRPr="00A5537A">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A5537A">
        <w:rPr>
          <w:color w:val="000000"/>
          <w:lang w:val="en-GB" w:eastAsia="en-US"/>
        </w:rPr>
        <w:t>Yugoslavia</w:t>
      </w:r>
      <w:r w:rsidRPr="00A5537A">
        <w:t xml:space="preserve"> (see, among other examples, ECtHR, </w:t>
      </w:r>
      <w:r w:rsidRPr="00A5537A">
        <w:rPr>
          <w:i/>
        </w:rPr>
        <w:t>Palić v. Bosnia and Herzegovina,</w:t>
      </w:r>
      <w:r w:rsidRPr="00A5537A">
        <w:t xml:space="preserve"> cited in § </w:t>
      </w:r>
      <w:fldSimple w:instr=" REF _Ref346724174 \r \h  \* MERGEFORMAT ">
        <w:r w:rsidR="00CD172E">
          <w:t>62</w:t>
        </w:r>
      </w:fldSimple>
      <w:r w:rsidRPr="00A5537A">
        <w:t xml:space="preserve"> above, and ECtHR, </w:t>
      </w:r>
      <w:r w:rsidRPr="00A5537A">
        <w:rPr>
          <w:i/>
        </w:rPr>
        <w:t>Jularić v. Croatia</w:t>
      </w:r>
      <w:r w:rsidRPr="00A5537A">
        <w:t xml:space="preserve">, no. 20106/06, judgment of 20 January 2011). The Court has further held that that the procedural obligation under Article 2 continues to apply in “difficult security conditions, including in a context of armed conflict” (see </w:t>
      </w:r>
      <w:r w:rsidRPr="00A5537A">
        <w:rPr>
          <w:lang w:eastAsia="en-US"/>
        </w:rPr>
        <w:t xml:space="preserve">ECtHR [GC], </w:t>
      </w:r>
      <w:r w:rsidRPr="00A5537A">
        <w:rPr>
          <w:i/>
          <w:lang w:eastAsia="en-US"/>
        </w:rPr>
        <w:t>Al-Skeini and Others v. the United Kingdom</w:t>
      </w:r>
      <w:r w:rsidRPr="00A5537A">
        <w:rPr>
          <w:lang w:eastAsia="en-US"/>
        </w:rPr>
        <w:t xml:space="preserve">, cited in § </w:t>
      </w:r>
      <w:r w:rsidR="00127DD1">
        <w:t>65</w:t>
      </w:r>
      <w:r w:rsidRPr="00A5537A">
        <w:rPr>
          <w:lang w:eastAsia="en-US"/>
        </w:rPr>
        <w:t xml:space="preserve"> above, at § 164; see also ECtHR, </w:t>
      </w:r>
      <w:r w:rsidRPr="00A5537A">
        <w:rPr>
          <w:i/>
          <w:lang w:eastAsia="en-US"/>
        </w:rPr>
        <w:t>Güleç v. Turkey</w:t>
      </w:r>
      <w:r w:rsidRPr="00A5537A">
        <w:rPr>
          <w:lang w:eastAsia="en-US"/>
        </w:rPr>
        <w:t>, judgment of 27 July 1998, § 81,</w:t>
      </w:r>
      <w:r w:rsidRPr="00A5537A">
        <w:t xml:space="preserve"> Reports </w:t>
      </w:r>
      <w:r w:rsidRPr="00A5537A">
        <w:rPr>
          <w:lang w:eastAsia="en-US"/>
        </w:rPr>
        <w:t>1998-IV; ECtHR,</w:t>
      </w:r>
      <w:r w:rsidRPr="00A5537A">
        <w:rPr>
          <w:i/>
          <w:lang w:eastAsia="en-US"/>
        </w:rPr>
        <w:t xml:space="preserve"> Ergi v. Turkey</w:t>
      </w:r>
      <w:r w:rsidRPr="00A5537A">
        <w:rPr>
          <w:lang w:eastAsia="en-US"/>
        </w:rPr>
        <w:t>, judgment of 28 July 1998, §§ 79 and 82, Reports 1998-IV; ECtHR,</w:t>
      </w:r>
      <w:r w:rsidRPr="00A5537A">
        <w:rPr>
          <w:i/>
          <w:lang w:eastAsia="en-US"/>
        </w:rPr>
        <w:t xml:space="preserve"> Ahmet Özkan and Others v. Turkey</w:t>
      </w:r>
      <w:r w:rsidRPr="00A5537A">
        <w:rPr>
          <w:lang w:eastAsia="en-US"/>
        </w:rPr>
        <w:t xml:space="preserve">, </w:t>
      </w:r>
      <w:r w:rsidRPr="00A5537A">
        <w:t xml:space="preserve">cited in § </w:t>
      </w:r>
      <w:fldSimple w:instr=" REF _Ref346723791 \r \h  \* MERGEFORMAT ">
        <w:r w:rsidR="00CD172E">
          <w:t>61</w:t>
        </w:r>
      </w:fldSimple>
      <w:r w:rsidRPr="00A5537A">
        <w:t xml:space="preserve"> above, at </w:t>
      </w:r>
      <w:r w:rsidRPr="00A5537A">
        <w:rPr>
          <w:lang w:eastAsia="en-US"/>
        </w:rPr>
        <w:t>§§ 85-90, 309-320 and 326-330;</w:t>
      </w:r>
      <w:r w:rsidRPr="00A5537A">
        <w:rPr>
          <w:i/>
          <w:lang w:eastAsia="en-US"/>
        </w:rPr>
        <w:t xml:space="preserve"> Isayeva v. Russia</w:t>
      </w:r>
      <w:r w:rsidRPr="00A5537A">
        <w:rPr>
          <w:lang w:eastAsia="en-US"/>
        </w:rPr>
        <w:t>, cited in</w:t>
      </w:r>
      <w:r w:rsidRPr="00A5537A">
        <w:t xml:space="preserve"> § </w:t>
      </w:r>
      <w:fldSimple w:instr=" REF _Ref346723791 \r \h  \* MERGEFORMAT ">
        <w:r w:rsidR="00CD172E">
          <w:t>61</w:t>
        </w:r>
      </w:fldSimple>
      <w:r w:rsidRPr="00A5537A">
        <w:t xml:space="preserve"> above, at </w:t>
      </w:r>
      <w:r w:rsidRPr="00A5537A">
        <w:rPr>
          <w:lang w:eastAsia="en-US"/>
        </w:rPr>
        <w:t xml:space="preserve">§§ 180 and 210; ECtHR, </w:t>
      </w:r>
      <w:r w:rsidRPr="00A5537A">
        <w:rPr>
          <w:i/>
          <w:lang w:eastAsia="en-US"/>
        </w:rPr>
        <w:t>Kanlibaş v. Turkey</w:t>
      </w:r>
      <w:r w:rsidRPr="00A5537A">
        <w:rPr>
          <w:lang w:eastAsia="en-US"/>
        </w:rPr>
        <w:t>, no. 32444/96, judgment of 8 December 2005, §§ 39-51)</w:t>
      </w:r>
      <w:r w:rsidRPr="00A5537A">
        <w:t xml:space="preserve">. </w:t>
      </w:r>
      <w:r w:rsidR="00005EDC" w:rsidRPr="00A25238">
        <w:rPr>
          <w:lang w:val="en-GB"/>
        </w:rPr>
        <w:t xml:space="preserve"> </w:t>
      </w:r>
    </w:p>
    <w:p w:rsidR="00005EDC" w:rsidRPr="00A25238" w:rsidRDefault="00005EDC" w:rsidP="00EC64DD">
      <w:pPr>
        <w:pStyle w:val="ListParagraph"/>
        <w:tabs>
          <w:tab w:val="left" w:pos="360"/>
        </w:tabs>
        <w:ind w:left="360" w:hanging="360"/>
        <w:rPr>
          <w:lang w:val="en-GB"/>
        </w:rPr>
      </w:pPr>
    </w:p>
    <w:p w:rsidR="00005EDC" w:rsidRPr="00A25238" w:rsidRDefault="005F43FB" w:rsidP="00A840B5">
      <w:pPr>
        <w:pStyle w:val="ListParagraph"/>
        <w:numPr>
          <w:ilvl w:val="0"/>
          <w:numId w:val="6"/>
        </w:numPr>
        <w:suppressAutoHyphens w:val="0"/>
        <w:contextualSpacing/>
        <w:jc w:val="both"/>
        <w:rPr>
          <w:color w:val="000000"/>
          <w:lang w:val="en-GB" w:eastAsia="en-US"/>
        </w:rPr>
      </w:pPr>
      <w:r w:rsidRPr="00A5537A">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w:t>
      </w:r>
      <w:r w:rsidRPr="00A5537A">
        <w:rPr>
          <w:lang w:eastAsia="en-US"/>
        </w:rPr>
        <w:t xml:space="preserve">use of </w:t>
      </w:r>
      <w:r w:rsidRPr="00A5537A">
        <w:t xml:space="preserve">less effective measures of investigation or may cause an investigation to be delayed” (see, </w:t>
      </w:r>
      <w:r w:rsidRPr="00A5537A">
        <w:rPr>
          <w:lang w:eastAsia="en-US"/>
        </w:rPr>
        <w:t xml:space="preserve">ECtHR [GC], </w:t>
      </w:r>
      <w:r w:rsidRPr="00A5537A">
        <w:rPr>
          <w:i/>
          <w:lang w:eastAsia="en-US"/>
        </w:rPr>
        <w:t xml:space="preserve">Al-Skeini and Others v. the United Kingdom, </w:t>
      </w:r>
      <w:r w:rsidRPr="00A5537A">
        <w:rPr>
          <w:lang w:eastAsia="en-US"/>
        </w:rPr>
        <w:t>cited</w:t>
      </w:r>
      <w:r w:rsidR="00127DD1">
        <w:rPr>
          <w:lang w:eastAsia="en-US"/>
        </w:rPr>
        <w:t xml:space="preserve"> in § 65</w:t>
      </w:r>
      <w:r w:rsidRPr="00A5537A">
        <w:rPr>
          <w:lang w:eastAsia="en-US"/>
        </w:rPr>
        <w:t xml:space="preserve"> above, at §164;</w:t>
      </w:r>
      <w:r w:rsidRPr="00A5537A">
        <w:rPr>
          <w:i/>
          <w:lang w:eastAsia="en-US"/>
        </w:rPr>
        <w:t xml:space="preserve"> </w:t>
      </w:r>
      <w:r w:rsidRPr="00A5537A">
        <w:rPr>
          <w:lang w:eastAsia="en-US"/>
        </w:rPr>
        <w:t>ECtHR,</w:t>
      </w:r>
      <w:r w:rsidRPr="00A5537A">
        <w:rPr>
          <w:i/>
          <w:lang w:eastAsia="en-US"/>
        </w:rPr>
        <w:t xml:space="preserve"> Bazorkina v. Russia</w:t>
      </w:r>
      <w:r w:rsidRPr="00A5537A">
        <w:rPr>
          <w:lang w:eastAsia="en-US"/>
        </w:rPr>
        <w:t>, no. 69481/01, judgment of 27 July 2006, § 121)</w:t>
      </w:r>
      <w:r w:rsidRPr="00A5537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A5537A">
        <w:rPr>
          <w:i/>
          <w:lang w:eastAsia="en-US"/>
        </w:rPr>
        <w:t>Kaya v. Turkey</w:t>
      </w:r>
      <w:r w:rsidRPr="00A5537A">
        <w:rPr>
          <w:lang w:eastAsia="en-US"/>
        </w:rPr>
        <w:t xml:space="preserve">, cited in § </w:t>
      </w:r>
      <w:fldSimple w:instr=" REF _Ref347561805 \r \h  \* MERGEFORMAT ">
        <w:r w:rsidR="00CD172E">
          <w:rPr>
            <w:lang w:eastAsia="en-US"/>
          </w:rPr>
          <w:t>59</w:t>
        </w:r>
      </w:fldSimple>
      <w:r w:rsidRPr="00A5537A">
        <w:rPr>
          <w:lang w:eastAsia="en-US"/>
        </w:rPr>
        <w:t xml:space="preserve"> above, at §§ 86</w:t>
      </w:r>
      <w:r w:rsidRPr="00A5537A">
        <w:rPr>
          <w:lang w:eastAsia="en-US"/>
        </w:rPr>
        <w:noBreakHyphen/>
        <w:t xml:space="preserve">92; ECtHR, </w:t>
      </w:r>
      <w:r w:rsidRPr="00A5537A">
        <w:rPr>
          <w:i/>
          <w:lang w:eastAsia="en-US"/>
        </w:rPr>
        <w:t xml:space="preserve">Ergi, </w:t>
      </w:r>
      <w:r w:rsidRPr="00A5537A">
        <w:rPr>
          <w:lang w:eastAsia="en-US"/>
        </w:rPr>
        <w:t xml:space="preserve">cited above, at §§ 82-85; ECtHR [GC], </w:t>
      </w:r>
      <w:r w:rsidRPr="00A5537A">
        <w:rPr>
          <w:i/>
          <w:lang w:eastAsia="en-US"/>
        </w:rPr>
        <w:t>Tanrıkulu v. Turkey</w:t>
      </w:r>
      <w:r w:rsidRPr="00A5537A">
        <w:rPr>
          <w:lang w:eastAsia="en-US"/>
        </w:rPr>
        <w:t xml:space="preserve">, no. 23763/94, judgment of 8 July 1999, §§ 101-110, ECHR 1999-IV; ECtHR, </w:t>
      </w:r>
      <w:r w:rsidRPr="00A5537A">
        <w:rPr>
          <w:i/>
          <w:lang w:eastAsia="en-US"/>
        </w:rPr>
        <w:t>Khashiyev and Akayeva v. Russia</w:t>
      </w:r>
      <w:r w:rsidRPr="00A5537A">
        <w:rPr>
          <w:lang w:eastAsia="en-US"/>
        </w:rPr>
        <w:t xml:space="preserve">, nos. 57942/00 and 57945/00, judgment of 24 February 2005, §§ 156-166; ECtHR, </w:t>
      </w:r>
      <w:r w:rsidRPr="00A5537A">
        <w:rPr>
          <w:i/>
          <w:lang w:eastAsia="en-US"/>
        </w:rPr>
        <w:t>Isayeva v. Russia</w:t>
      </w:r>
      <w:r w:rsidRPr="00A5537A">
        <w:rPr>
          <w:lang w:eastAsia="en-US"/>
        </w:rPr>
        <w:t xml:space="preserve">, </w:t>
      </w:r>
      <w:r w:rsidRPr="00A5537A">
        <w:t xml:space="preserve">cited </w:t>
      </w:r>
      <w:r w:rsidRPr="00A5537A">
        <w:rPr>
          <w:color w:val="000000"/>
        </w:rPr>
        <w:t xml:space="preserve">in § </w:t>
      </w:r>
      <w:fldSimple w:instr=" REF _Ref346723791 \r \h  \* MERGEFORMAT ">
        <w:r w:rsidR="00CD172E" w:rsidRPr="00CD172E">
          <w:rPr>
            <w:color w:val="000000"/>
          </w:rPr>
          <w:t>61</w:t>
        </w:r>
      </w:fldSimple>
      <w:r w:rsidRPr="00A5537A">
        <w:rPr>
          <w:color w:val="000000"/>
        </w:rPr>
        <w:t xml:space="preserve"> </w:t>
      </w:r>
      <w:r w:rsidRPr="00A5537A">
        <w:t xml:space="preserve">above, at </w:t>
      </w:r>
      <w:r w:rsidRPr="00A5537A">
        <w:rPr>
          <w:lang w:eastAsia="en-US"/>
        </w:rPr>
        <w:t>§§ 215</w:t>
      </w:r>
      <w:r w:rsidRPr="00A5537A">
        <w:rPr>
          <w:lang w:eastAsia="en-US"/>
        </w:rPr>
        <w:noBreakHyphen/>
        <w:t xml:space="preserve">224; ECtHR, </w:t>
      </w:r>
      <w:r w:rsidRPr="00A5537A">
        <w:rPr>
          <w:i/>
          <w:lang w:eastAsia="en-US"/>
        </w:rPr>
        <w:t>Musayev and Others v. Russia</w:t>
      </w:r>
      <w:r w:rsidRPr="00A5537A">
        <w:rPr>
          <w:lang w:eastAsia="en-US"/>
        </w:rPr>
        <w:t xml:space="preserve">, nos. 57941/00 and others, judgment of 26 July 2007, §§ 158-165). </w:t>
      </w:r>
      <w:r w:rsidR="00005EDC" w:rsidRPr="00A25238">
        <w:rPr>
          <w:lang w:val="en-GB" w:eastAsia="en-US"/>
        </w:rPr>
        <w:t xml:space="preserve"> </w:t>
      </w:r>
    </w:p>
    <w:p w:rsidR="00005EDC" w:rsidRPr="00A25238" w:rsidRDefault="00005EDC" w:rsidP="00EC64DD">
      <w:pPr>
        <w:pStyle w:val="ListParagraph"/>
        <w:tabs>
          <w:tab w:val="left" w:pos="360"/>
        </w:tabs>
        <w:ind w:left="360" w:hanging="360"/>
        <w:jc w:val="both"/>
        <w:rPr>
          <w:color w:val="000000"/>
          <w:lang w:val="en-GB" w:eastAsia="en-US"/>
        </w:rPr>
      </w:pPr>
    </w:p>
    <w:p w:rsidR="00005EDC" w:rsidRPr="00A25238" w:rsidRDefault="005F43FB" w:rsidP="00A840B5">
      <w:pPr>
        <w:pStyle w:val="ListParagraph"/>
        <w:numPr>
          <w:ilvl w:val="0"/>
          <w:numId w:val="6"/>
        </w:numPr>
        <w:suppressAutoHyphens w:val="0"/>
        <w:contextualSpacing/>
        <w:jc w:val="both"/>
        <w:rPr>
          <w:i/>
          <w:color w:val="000000"/>
          <w:lang w:val="en-GB" w:eastAsia="en-US"/>
        </w:rPr>
      </w:pPr>
      <w:r w:rsidRPr="00A5537A">
        <w:rPr>
          <w:color w:val="000000"/>
          <w:lang w:eastAsia="en-US"/>
        </w:rPr>
        <w:t xml:space="preserve">Similarly, the HRC has held that the right to life, including its procedural guarantees, shall be considered as the supreme right from which no derogation is </w:t>
      </w:r>
      <w:r w:rsidRPr="00A5537A">
        <w:t>permitted</w:t>
      </w:r>
      <w:r w:rsidRPr="00A5537A">
        <w:rPr>
          <w:color w:val="000000"/>
          <w:lang w:eastAsia="en-US"/>
        </w:rPr>
        <w:t xml:space="preserve"> even in time of public emergency which threatens the life of the nation (see, HRC, General Comment No. 6, cited in § </w:t>
      </w:r>
      <w:fldSimple w:instr=" REF _Ref348512105 \r \h  \* MERGEFORMAT ">
        <w:r w:rsidR="00CD172E" w:rsidRPr="00CD172E">
          <w:rPr>
            <w:color w:val="000000"/>
            <w:lang w:eastAsia="en-US"/>
          </w:rPr>
          <w:t>58</w:t>
        </w:r>
      </w:fldSimple>
      <w:r w:rsidRPr="00A5537A">
        <w:rPr>
          <w:color w:val="000000"/>
          <w:lang w:eastAsia="en-US"/>
        </w:rPr>
        <w:t xml:space="preserve"> above, at § 1; HRC, </w:t>
      </w:r>
      <w:r w:rsidRPr="00A5537A">
        <w:rPr>
          <w:i/>
          <w:color w:val="000000"/>
          <w:lang w:eastAsia="en-US"/>
        </w:rPr>
        <w:t>Abubakar Amirov and Aïzan Amirova v. Russi</w:t>
      </w:r>
      <w:r w:rsidRPr="00A5537A">
        <w:t>a</w:t>
      </w:r>
      <w:r w:rsidRPr="00A5537A">
        <w:rPr>
          <w:i/>
          <w:color w:val="000000"/>
          <w:lang w:eastAsia="en-US"/>
        </w:rPr>
        <w:t>n Federation</w:t>
      </w:r>
      <w:r w:rsidRPr="00A5537A">
        <w:rPr>
          <w:color w:val="000000"/>
          <w:lang w:eastAsia="en-US"/>
        </w:rPr>
        <w:t xml:space="preserve">, </w:t>
      </w:r>
      <w:r>
        <w:rPr>
          <w:color w:val="000000"/>
          <w:lang w:eastAsia="en-US"/>
        </w:rPr>
        <w:t xml:space="preserve">communication no. 1447/2006, views of </w:t>
      </w:r>
      <w:r w:rsidRPr="00A5537A">
        <w:rPr>
          <w:color w:val="000000"/>
          <w:lang w:eastAsia="en-US"/>
        </w:rPr>
        <w:t xml:space="preserve">22 April 2009, § 11.2, </w:t>
      </w:r>
      <w:r w:rsidRPr="00A5537A">
        <w:rPr>
          <w:bCs/>
          <w:lang w:eastAsia="en-US"/>
        </w:rPr>
        <w:t>CCPR/C/95/D/1447/2006</w:t>
      </w:r>
      <w:r w:rsidRPr="00A5537A">
        <w:rPr>
          <w:lang w:eastAsia="en-US"/>
        </w:rPr>
        <w:t>).</w:t>
      </w:r>
      <w:r w:rsidRPr="00A5537A">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A5537A">
        <w:rPr>
          <w:lang w:eastAsia="en-US"/>
        </w:rPr>
        <w:t>§§ 12-13, CCPR/C/UNK/CO/1).</w:t>
      </w:r>
    </w:p>
    <w:p w:rsidR="00005EDC" w:rsidRPr="00A25238" w:rsidRDefault="00005EDC" w:rsidP="00EC64DD">
      <w:pPr>
        <w:tabs>
          <w:tab w:val="left" w:pos="360"/>
        </w:tabs>
        <w:ind w:left="360" w:hanging="360"/>
        <w:rPr>
          <w:lang w:val="en-GB"/>
        </w:rPr>
      </w:pPr>
    </w:p>
    <w:p w:rsidR="00D93FE8" w:rsidRPr="003A5880" w:rsidRDefault="005F43FB" w:rsidP="00A840B5">
      <w:pPr>
        <w:pStyle w:val="ListParagraph"/>
        <w:numPr>
          <w:ilvl w:val="0"/>
          <w:numId w:val="6"/>
        </w:numPr>
        <w:suppressAutoHyphens w:val="0"/>
        <w:contextualSpacing/>
        <w:jc w:val="both"/>
        <w:rPr>
          <w:lang w:val="en-GB"/>
        </w:rPr>
      </w:pPr>
      <w:bookmarkStart w:id="22" w:name="_Ref343611663"/>
      <w:r w:rsidRPr="00A5537A">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5537A">
        <w:rPr>
          <w:color w:val="000000"/>
        </w:rPr>
        <w:t xml:space="preserve">officers or units of UNMIK Police. Such a system should also take account of the protection needs of victims and witnesses (see, </w:t>
      </w:r>
      <w:r w:rsidRPr="00A5537A">
        <w:rPr>
          <w:i/>
          <w:color w:val="000000"/>
        </w:rPr>
        <w:t>mutatis mutandis</w:t>
      </w:r>
      <w:r w:rsidRPr="00A5537A">
        <w:rPr>
          <w:color w:val="000000"/>
        </w:rPr>
        <w:t xml:space="preserve">, ECtHR, </w:t>
      </w:r>
      <w:r w:rsidRPr="00A5537A">
        <w:rPr>
          <w:i/>
          <w:color w:val="000000"/>
        </w:rPr>
        <w:t>R.R. and Others v. Hungary</w:t>
      </w:r>
      <w:r w:rsidRPr="00A5537A">
        <w:rPr>
          <w:color w:val="000000"/>
        </w:rPr>
        <w:t>, no. 19400/11, judgment of 4 December 2012, §§ 28-32), as w</w:t>
      </w:r>
      <w:r w:rsidR="00127DD1">
        <w:rPr>
          <w:color w:val="000000"/>
        </w:rPr>
        <w:t xml:space="preserve">ell as to consider the special </w:t>
      </w:r>
      <w:r w:rsidR="00127DD1" w:rsidRPr="00A5537A">
        <w:rPr>
          <w:color w:val="000000"/>
          <w:lang w:val="en-GB"/>
        </w:rPr>
        <w:t>vulnerability</w:t>
      </w:r>
      <w:r w:rsidRPr="00A5537A">
        <w:rPr>
          <w:color w:val="000000"/>
          <w:lang w:val="en-GB"/>
        </w:rPr>
        <w:t xml:space="preserve"> of displaced persons</w:t>
      </w:r>
      <w:r w:rsidRPr="00A5537A">
        <w:rPr>
          <w:color w:val="000000"/>
        </w:rPr>
        <w:t xml:space="preserve"> in post-conflict situations (see ECtHR [GC], </w:t>
      </w:r>
      <w:r w:rsidRPr="00A5537A">
        <w:rPr>
          <w:i/>
          <w:color w:val="000000"/>
        </w:rPr>
        <w:t xml:space="preserve">Sargsyan v. Azerbaijan, </w:t>
      </w:r>
      <w:r w:rsidRPr="00A5537A">
        <w:rPr>
          <w:color w:val="000000"/>
        </w:rPr>
        <w:t xml:space="preserve">no. 40167/06, decision of 14 December 2011, § 145; and ECtHR [GC], </w:t>
      </w:r>
      <w:r w:rsidRPr="00A5537A">
        <w:rPr>
          <w:i/>
          <w:color w:val="000000"/>
        </w:rPr>
        <w:t>Chiragov and Others v. Armenia</w:t>
      </w:r>
      <w:r w:rsidRPr="00A5537A">
        <w:rPr>
          <w:color w:val="000000"/>
        </w:rPr>
        <w:t>, no. 13216/05, decision of 14 December 2011, § 146). While understanding that the deployment and the organisation of the police and justice apparatus occurred</w:t>
      </w:r>
      <w:r w:rsidRPr="00A5537A">
        <w:t xml:space="preserve"> gradually, the Panel deems that this process was completed in 2003 when the police and justice system in Kosovo was described as being “well-functioning” and “sustainable” by the UN Secretary-General (see </w:t>
      </w:r>
      <w:r w:rsidRPr="00A5537A">
        <w:rPr>
          <w:lang w:eastAsia="en-US"/>
        </w:rPr>
        <w:t xml:space="preserve">§ </w:t>
      </w:r>
      <w:fldSimple w:instr=" REF _Ref346123767 \r \h  \* MERGEFORMAT ">
        <w:r w:rsidR="00CD172E">
          <w:rPr>
            <w:lang w:eastAsia="en-US"/>
          </w:rPr>
          <w:t>14</w:t>
        </w:r>
      </w:fldSimple>
      <w:r w:rsidRPr="00A5537A">
        <w:rPr>
          <w:lang w:eastAsia="en-US"/>
        </w:rPr>
        <w:t xml:space="preserve"> </w:t>
      </w:r>
      <w:r w:rsidRPr="00A5537A">
        <w:t>above).</w:t>
      </w:r>
      <w:bookmarkEnd w:id="22"/>
    </w:p>
    <w:p w:rsidR="003A5880" w:rsidRPr="003A5880" w:rsidRDefault="003A5880" w:rsidP="003A5880">
      <w:pPr>
        <w:pStyle w:val="ListParagraph"/>
        <w:suppressAutoHyphens w:val="0"/>
        <w:ind w:left="360"/>
        <w:contextualSpacing/>
        <w:jc w:val="both"/>
        <w:rPr>
          <w:lang w:val="en-GB"/>
        </w:rPr>
      </w:pPr>
    </w:p>
    <w:p w:rsidR="003A5880" w:rsidRPr="008B6C55" w:rsidRDefault="003A5880" w:rsidP="003A5880">
      <w:pPr>
        <w:pStyle w:val="Default"/>
        <w:numPr>
          <w:ilvl w:val="0"/>
          <w:numId w:val="6"/>
        </w:numPr>
        <w:tabs>
          <w:tab w:val="left" w:pos="450"/>
          <w:tab w:val="left" w:pos="540"/>
          <w:tab w:val="left" w:pos="720"/>
        </w:tabs>
        <w:jc w:val="both"/>
      </w:pPr>
      <w:r w:rsidRPr="008B6C55">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ECtHR, </w:t>
      </w:r>
      <w:r w:rsidRPr="008B6C55">
        <w:rPr>
          <w:i/>
        </w:rPr>
        <w:t>Palić v. Bosnia and Herzegovina,</w:t>
      </w:r>
      <w:r w:rsidRPr="008B6C55">
        <w:t xml:space="preserve"> cited </w:t>
      </w:r>
      <w:r w:rsidR="00127DD1">
        <w:t xml:space="preserve">in </w:t>
      </w:r>
      <w:r w:rsidRPr="008B6C55">
        <w:t xml:space="preserve">§ </w:t>
      </w:r>
      <w:r w:rsidR="00127DD1">
        <w:t>63</w:t>
      </w:r>
      <w:r w:rsidRPr="008B6C55">
        <w:t xml:space="preserve"> above, </w:t>
      </w:r>
      <w:r w:rsidRPr="008B6C55">
        <w:rPr>
          <w:i/>
        </w:rPr>
        <w:t>Brecknell v. The United Kingdom,</w:t>
      </w:r>
      <w:r w:rsidRPr="008B6C55">
        <w:t xml:space="preserve"> no. 32457/04, 27 November 2007, § 70).</w:t>
      </w:r>
    </w:p>
    <w:p w:rsidR="00005EDC" w:rsidRPr="00A25238" w:rsidRDefault="00005EDC" w:rsidP="00EC64DD">
      <w:pPr>
        <w:pStyle w:val="ListParagraph"/>
        <w:tabs>
          <w:tab w:val="left" w:pos="360"/>
        </w:tabs>
        <w:ind w:left="360" w:hanging="360"/>
        <w:rPr>
          <w:lang w:val="en-GB"/>
        </w:rPr>
      </w:pPr>
    </w:p>
    <w:p w:rsidR="00005EDC" w:rsidRPr="00B3281D" w:rsidRDefault="005F43FB" w:rsidP="00A840B5">
      <w:pPr>
        <w:numPr>
          <w:ilvl w:val="0"/>
          <w:numId w:val="6"/>
        </w:numPr>
        <w:suppressAutoHyphens/>
        <w:autoSpaceDE w:val="0"/>
        <w:jc w:val="both"/>
        <w:rPr>
          <w:rStyle w:val="sb8d990e2"/>
          <w:lang w:val="en-GB"/>
        </w:rPr>
      </w:pPr>
      <w:r w:rsidRPr="00A5537A">
        <w:rPr>
          <w:rStyle w:val="sb8d990e2"/>
        </w:rPr>
        <w:t xml:space="preserve">The Panel further notes that its task is not to review relevant practices or alleged obstacles to the conduct of effective investigations </w:t>
      </w:r>
      <w:r w:rsidRPr="00A5537A">
        <w:rPr>
          <w:rStyle w:val="s6b621b36"/>
          <w:i/>
        </w:rPr>
        <w:t xml:space="preserve">in </w:t>
      </w:r>
      <w:r w:rsidRPr="00A5537A">
        <w:rPr>
          <w:rStyle w:val="wordhighlighted"/>
          <w:i/>
        </w:rPr>
        <w:t>abstracto</w:t>
      </w:r>
      <w:r w:rsidRPr="00A5537A">
        <w:rPr>
          <w:rStyle w:val="sb8d990e2"/>
        </w:rPr>
        <w:t xml:space="preserve">, but only in relation to their specific application to the particular circumstances of a situation subject of a complaint before </w:t>
      </w:r>
      <w:r w:rsidRPr="00A5537A">
        <w:rPr>
          <w:rStyle w:val="sb8d990e2"/>
          <w:color w:val="000000"/>
        </w:rPr>
        <w:t xml:space="preserve">it (see, ECtHR, </w:t>
      </w:r>
      <w:r w:rsidRPr="00A5537A">
        <w:rPr>
          <w:rStyle w:val="s6b621b36"/>
          <w:i/>
          <w:color w:val="000000"/>
        </w:rPr>
        <w:t>Brogan</w:t>
      </w:r>
      <w:r w:rsidRPr="00A5537A">
        <w:rPr>
          <w:rStyle w:val="s6b621b36"/>
          <w:i/>
        </w:rPr>
        <w:t xml:space="preserve"> and Others v. the United </w:t>
      </w:r>
      <w:r w:rsidRPr="00A5537A">
        <w:rPr>
          <w:rStyle w:val="s6b621b36"/>
          <w:i/>
          <w:color w:val="000000"/>
        </w:rPr>
        <w:t>Kingdom</w:t>
      </w:r>
      <w:r w:rsidRPr="00A5537A">
        <w:rPr>
          <w:rStyle w:val="sb8d990e2"/>
          <w:color w:val="000000"/>
        </w:rPr>
        <w:t xml:space="preserve">, </w:t>
      </w:r>
      <w:r w:rsidRPr="00A5537A">
        <w:rPr>
          <w:rStyle w:val="column01"/>
          <w:color w:val="000000"/>
        </w:rPr>
        <w:t>judgment of</w:t>
      </w:r>
      <w:r w:rsidRPr="00A5537A">
        <w:rPr>
          <w:rStyle w:val="sb8d990e2"/>
          <w:color w:val="000000"/>
        </w:rPr>
        <w:t xml:space="preserve"> 29</w:t>
      </w:r>
      <w:r w:rsidRPr="00A5537A">
        <w:rPr>
          <w:rStyle w:val="sb8d990e2"/>
        </w:rPr>
        <w:t xml:space="preserve"> November 1988,</w:t>
      </w:r>
      <w:r w:rsidRPr="00A5537A">
        <w:t xml:space="preserve"> </w:t>
      </w:r>
      <w:r w:rsidRPr="00A5537A">
        <w:rPr>
          <w:rStyle w:val="sb8d990e2"/>
        </w:rPr>
        <w:t>§ 53, Series A no. 145-B).</w:t>
      </w:r>
      <w:r w:rsidR="00005EDC" w:rsidRPr="00A25238">
        <w:rPr>
          <w:rStyle w:val="sb8d990e2"/>
          <w:lang w:val="en-GB"/>
        </w:rPr>
        <w:t xml:space="preserve"> </w:t>
      </w:r>
      <w:r w:rsidR="00A507FF" w:rsidRPr="00B3281D">
        <w:rPr>
          <w:rStyle w:val="sb8d990e2"/>
          <w:lang w:val="en-GB"/>
        </w:rPr>
        <w:t>In this respect t</w:t>
      </w:r>
      <w:r w:rsidR="00005EDC" w:rsidRPr="00B3281D">
        <w:rPr>
          <w:lang w:val="en-GB"/>
        </w:rPr>
        <w:t xml:space="preserve">he Panel </w:t>
      </w:r>
      <w:r w:rsidR="005D4C1A" w:rsidRPr="00B3281D">
        <w:rPr>
          <w:lang w:val="en-GB"/>
        </w:rPr>
        <w:t>notes the observation made by the SRSG regarding the reluctance of witnesses to come forward in the context of Kosovo</w:t>
      </w:r>
      <w:r w:rsidR="008437AF" w:rsidRPr="00B3281D">
        <w:rPr>
          <w:lang w:val="en-GB"/>
        </w:rPr>
        <w:t xml:space="preserve"> and its subsequent impact on the effectiveness of an investigation</w:t>
      </w:r>
      <w:r w:rsidR="00A507FF" w:rsidRPr="00B3281D">
        <w:rPr>
          <w:lang w:val="en-GB"/>
        </w:rPr>
        <w:t>. H</w:t>
      </w:r>
      <w:r w:rsidR="005D4C1A" w:rsidRPr="00B3281D">
        <w:rPr>
          <w:lang w:val="en-GB"/>
        </w:rPr>
        <w:t xml:space="preserve">owever, </w:t>
      </w:r>
      <w:r w:rsidR="00005EDC" w:rsidRPr="00B3281D">
        <w:rPr>
          <w:lang w:val="en-GB"/>
        </w:rPr>
        <w:t>the degree</w:t>
      </w:r>
      <w:r w:rsidR="00D46FC7" w:rsidRPr="00B3281D">
        <w:rPr>
          <w:lang w:val="en-GB"/>
        </w:rPr>
        <w:t xml:space="preserve"> to which such a challenge</w:t>
      </w:r>
      <w:r w:rsidR="008437AF" w:rsidRPr="00B3281D">
        <w:rPr>
          <w:lang w:val="en-GB"/>
        </w:rPr>
        <w:t xml:space="preserve"> could undermine the efficacy of such an investigation can only be measured on a case by case basis. </w:t>
      </w:r>
      <w:r w:rsidR="00005EDC" w:rsidRPr="00B3281D">
        <w:rPr>
          <w:lang w:val="en-GB"/>
        </w:rPr>
        <w:t xml:space="preserve"> </w:t>
      </w:r>
      <w:r w:rsidR="00005EDC" w:rsidRPr="00B3281D">
        <w:rPr>
          <w:rStyle w:val="sb8d990e2"/>
          <w:lang w:val="en-GB"/>
        </w:rPr>
        <w:t>For these reasons, the Panel considers that it will establish with regard to each case if all reasonable steps were taken to conduct an effective investigation as prescribed by Article 2,</w:t>
      </w:r>
      <w:r w:rsidR="00005EDC" w:rsidRPr="00B3281D">
        <w:rPr>
          <w:lang w:val="en-GB"/>
        </w:rPr>
        <w:t xml:space="preserve"> </w:t>
      </w:r>
      <w:r w:rsidR="00005EDC" w:rsidRPr="00B3281D">
        <w:rPr>
          <w:rStyle w:val="sb8d990e2"/>
          <w:lang w:val="en-GB"/>
        </w:rPr>
        <w:t>having regard to the r</w:t>
      </w:r>
      <w:r w:rsidR="00D46FC7" w:rsidRPr="00B3281D">
        <w:rPr>
          <w:rStyle w:val="sb8d990e2"/>
          <w:lang w:val="en-GB"/>
        </w:rPr>
        <w:t xml:space="preserve">ealities of </w:t>
      </w:r>
      <w:r w:rsidR="00005EDC" w:rsidRPr="00B3281D">
        <w:rPr>
          <w:rStyle w:val="sb8d990e2"/>
          <w:lang w:val="en-GB"/>
        </w:rPr>
        <w:t>investigative work in Kosovo</w:t>
      </w:r>
      <w:r w:rsidR="008437AF" w:rsidRPr="00B3281D">
        <w:rPr>
          <w:rStyle w:val="sb8d990e2"/>
          <w:lang w:val="en-GB"/>
        </w:rPr>
        <w:t xml:space="preserve"> and taking into account the specificities of the case.</w:t>
      </w:r>
    </w:p>
    <w:p w:rsidR="00005EDC" w:rsidRPr="00A25238" w:rsidRDefault="00005EDC" w:rsidP="00EC64DD">
      <w:pPr>
        <w:tabs>
          <w:tab w:val="left" w:pos="360"/>
        </w:tabs>
        <w:suppressAutoHyphens/>
        <w:ind w:left="360" w:hanging="360"/>
        <w:jc w:val="both"/>
        <w:rPr>
          <w:b/>
          <w:i/>
          <w:lang w:val="en-GB"/>
        </w:rPr>
      </w:pPr>
    </w:p>
    <w:p w:rsidR="004F19FC" w:rsidRPr="00A25238" w:rsidRDefault="004F19FC" w:rsidP="0024300A">
      <w:pPr>
        <w:pStyle w:val="ListParagraph"/>
        <w:numPr>
          <w:ilvl w:val="0"/>
          <w:numId w:val="35"/>
        </w:numPr>
        <w:tabs>
          <w:tab w:val="left" w:pos="360"/>
        </w:tabs>
        <w:suppressAutoHyphens w:val="0"/>
        <w:ind w:left="360"/>
        <w:contextualSpacing/>
        <w:jc w:val="both"/>
        <w:rPr>
          <w:bCs/>
          <w:i/>
          <w:lang w:val="en-GB"/>
        </w:rPr>
      </w:pPr>
      <w:r w:rsidRPr="00A25238">
        <w:rPr>
          <w:i/>
          <w:color w:val="000000"/>
          <w:lang w:val="en-GB" w:eastAsia="en-US"/>
        </w:rPr>
        <w:t>Compliance</w:t>
      </w:r>
      <w:r w:rsidRPr="00A25238">
        <w:rPr>
          <w:bCs/>
          <w:i/>
          <w:lang w:val="en-GB"/>
        </w:rPr>
        <w:t xml:space="preserve"> with the requirements of Article 2 in the present case</w:t>
      </w:r>
    </w:p>
    <w:p w:rsidR="004F19FC" w:rsidRPr="00A25238" w:rsidRDefault="004F19FC" w:rsidP="00EC64DD">
      <w:pPr>
        <w:tabs>
          <w:tab w:val="left" w:pos="360"/>
        </w:tabs>
        <w:suppressAutoHyphens/>
        <w:ind w:left="360" w:hanging="360"/>
        <w:jc w:val="both"/>
        <w:rPr>
          <w:b/>
          <w:i/>
          <w:lang w:val="en-GB"/>
        </w:rPr>
      </w:pPr>
    </w:p>
    <w:p w:rsidR="0022364D" w:rsidRPr="00B3281D" w:rsidRDefault="005F43FB" w:rsidP="00A840B5">
      <w:pPr>
        <w:numPr>
          <w:ilvl w:val="0"/>
          <w:numId w:val="6"/>
        </w:numPr>
        <w:suppressAutoHyphens/>
        <w:autoSpaceDE w:val="0"/>
        <w:jc w:val="both"/>
        <w:rPr>
          <w:bCs/>
          <w:lang w:val="en-GB"/>
        </w:rPr>
      </w:pPr>
      <w:r w:rsidRPr="00A5537A">
        <w:rPr>
          <w:bCs/>
          <w:lang w:val="en-GB"/>
        </w:rPr>
        <w:t xml:space="preserve">Turning to the circumstances of the present case, the Panel </w:t>
      </w:r>
      <w:r w:rsidRPr="00A5537A">
        <w:rPr>
          <w:lang w:val="en-GB"/>
        </w:rPr>
        <w:t xml:space="preserve">first </w:t>
      </w:r>
      <w:r w:rsidRPr="00A5537A">
        <w:t>addresses</w:t>
      </w:r>
      <w:r w:rsidRPr="00A5537A">
        <w:rPr>
          <w:lang w:val="en-GB"/>
        </w:rPr>
        <w:t xml:space="preserve"> the issue of the burden of proof. At the admissibility stage, the Panel was satisfied that the complainant’s allegations were not groundless, thus it accepted the existence of a </w:t>
      </w:r>
      <w:r w:rsidRPr="00A5537A">
        <w:rPr>
          <w:i/>
          <w:lang w:val="en-GB"/>
        </w:rPr>
        <w:t>prima facie</w:t>
      </w:r>
      <w:r>
        <w:rPr>
          <w:lang w:val="en-GB"/>
        </w:rPr>
        <w:t xml:space="preserve"> case: </w:t>
      </w:r>
      <w:r w:rsidR="0022364D" w:rsidRPr="00A25238">
        <w:rPr>
          <w:lang w:val="en-GB"/>
        </w:rPr>
        <w:t xml:space="preserve">that </w:t>
      </w:r>
      <w:r w:rsidR="00D933AE" w:rsidRPr="00B3281D">
        <w:rPr>
          <w:lang w:val="en-GB"/>
        </w:rPr>
        <w:t>Zoran Nedeljković</w:t>
      </w:r>
      <w:r w:rsidR="0022364D" w:rsidRPr="00B3281D">
        <w:rPr>
          <w:lang w:val="en-GB"/>
        </w:rPr>
        <w:t xml:space="preserve"> disappeared in life threatening circumstances </w:t>
      </w:r>
      <w:r w:rsidRPr="00B3281D">
        <w:rPr>
          <w:lang w:val="en-GB"/>
        </w:rPr>
        <w:t xml:space="preserve">and that, at the latest on </w:t>
      </w:r>
      <w:r w:rsidR="00D933AE" w:rsidRPr="00B3281D">
        <w:rPr>
          <w:lang w:val="en-GB"/>
        </w:rPr>
        <w:t xml:space="preserve">6 February </w:t>
      </w:r>
      <w:r w:rsidR="00F03599" w:rsidRPr="00B3281D">
        <w:rPr>
          <w:lang w:val="en-GB"/>
        </w:rPr>
        <w:t>2000, UNMIK became aware of the matter</w:t>
      </w:r>
      <w:r w:rsidR="003A5880" w:rsidRPr="00B3281D">
        <w:rPr>
          <w:lang w:val="en-GB"/>
        </w:rPr>
        <w:t xml:space="preserve"> (</w:t>
      </w:r>
      <w:r w:rsidR="00127DD1">
        <w:rPr>
          <w:lang w:val="en-GB"/>
        </w:rPr>
        <w:t>see § 25</w:t>
      </w:r>
      <w:r w:rsidR="003A5880" w:rsidRPr="00B3281D">
        <w:rPr>
          <w:lang w:val="en-GB"/>
        </w:rPr>
        <w:t>, above).</w:t>
      </w:r>
    </w:p>
    <w:p w:rsidR="0022364D" w:rsidRPr="00A25238" w:rsidRDefault="0022364D" w:rsidP="00EC64DD">
      <w:pPr>
        <w:tabs>
          <w:tab w:val="left" w:pos="360"/>
        </w:tabs>
        <w:suppressAutoHyphens/>
        <w:autoSpaceDE w:val="0"/>
        <w:ind w:left="360" w:hanging="360"/>
        <w:jc w:val="both"/>
        <w:rPr>
          <w:bCs/>
          <w:lang w:val="en-GB"/>
        </w:rPr>
      </w:pPr>
    </w:p>
    <w:p w:rsidR="006004B6" w:rsidRPr="00A5537A" w:rsidRDefault="006004B6" w:rsidP="00A840B5">
      <w:pPr>
        <w:numPr>
          <w:ilvl w:val="0"/>
          <w:numId w:val="6"/>
        </w:numPr>
        <w:suppressAutoHyphens/>
        <w:autoSpaceDE w:val="0"/>
        <w:jc w:val="both"/>
        <w:rPr>
          <w:bCs/>
          <w:lang w:val="en-GB"/>
        </w:rPr>
      </w:pPr>
      <w:r w:rsidRPr="006004B6">
        <w:rPr>
          <w:lang w:val="en-GB"/>
        </w:rPr>
        <w:t xml:space="preserve">Accordingly, applying the principles discussed above (see §§ </w:t>
      </w:r>
      <w:fldSimple w:instr=" REF _Ref347993393 \r \h  \* MERGEFORMAT ">
        <w:r w:rsidR="00CD172E" w:rsidRPr="00CD172E">
          <w:rPr>
            <w:lang w:val="en-GB"/>
          </w:rPr>
          <w:t>54</w:t>
        </w:r>
      </w:fldSimple>
      <w:r w:rsidRPr="006004B6">
        <w:rPr>
          <w:lang w:val="en-GB"/>
        </w:rPr>
        <w:t>-</w:t>
      </w:r>
      <w:r w:rsidR="00127DD1">
        <w:t>57</w:t>
      </w:r>
      <w:r w:rsidRPr="006004B6">
        <w:rPr>
          <w:lang w:val="en-GB"/>
        </w:rPr>
        <w:t xml:space="preser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w:t>
      </w:r>
      <w:r w:rsidR="002A59F7" w:rsidRPr="006004B6">
        <w:rPr>
          <w:color w:val="000000"/>
          <w:lang w:val="en-GB"/>
        </w:rPr>
        <w:t>present</w:t>
      </w:r>
      <w:r w:rsidR="00454AA4" w:rsidRPr="006004B6">
        <w:rPr>
          <w:color w:val="000000"/>
          <w:lang w:val="en-GB"/>
        </w:rPr>
        <w:t>ed</w:t>
      </w:r>
      <w:r w:rsidR="002A59F7" w:rsidRPr="006004B6">
        <w:rPr>
          <w:color w:val="000000"/>
          <w:lang w:val="en-GB"/>
        </w:rPr>
        <w:t xml:space="preserve"> </w:t>
      </w:r>
      <w:r w:rsidR="00A813B6" w:rsidRPr="00B3281D">
        <w:rPr>
          <w:color w:val="000000"/>
          <w:lang w:val="en-GB"/>
        </w:rPr>
        <w:t>an</w:t>
      </w:r>
      <w:r w:rsidR="00DB2E6D" w:rsidRPr="00B3281D">
        <w:rPr>
          <w:color w:val="000000"/>
          <w:lang w:val="en-GB"/>
        </w:rPr>
        <w:t>y</w:t>
      </w:r>
      <w:r w:rsidR="003261AD" w:rsidRPr="00B3281D">
        <w:rPr>
          <w:color w:val="000000"/>
          <w:lang w:val="en-GB"/>
        </w:rPr>
        <w:t xml:space="preserve"> </w:t>
      </w:r>
      <w:r w:rsidR="00B3281D" w:rsidRPr="00B3281D">
        <w:rPr>
          <w:color w:val="000000"/>
          <w:lang w:val="en-GB"/>
        </w:rPr>
        <w:t xml:space="preserve">further </w:t>
      </w:r>
      <w:r w:rsidR="003261AD" w:rsidRPr="00B3281D">
        <w:rPr>
          <w:color w:val="000000"/>
          <w:lang w:val="en-GB"/>
        </w:rPr>
        <w:t>investigati</w:t>
      </w:r>
      <w:r w:rsidR="00DB2E6D" w:rsidRPr="00B3281D">
        <w:rPr>
          <w:color w:val="000000"/>
          <w:lang w:val="en-GB"/>
        </w:rPr>
        <w:t>ve</w:t>
      </w:r>
      <w:r w:rsidR="003A5880" w:rsidRPr="00B3281D">
        <w:rPr>
          <w:color w:val="000000"/>
          <w:lang w:val="en-GB"/>
        </w:rPr>
        <w:t xml:space="preserve"> </w:t>
      </w:r>
      <w:r w:rsidR="003261AD" w:rsidRPr="00B3281D">
        <w:rPr>
          <w:color w:val="000000"/>
          <w:lang w:val="en-GB"/>
        </w:rPr>
        <w:t>file</w:t>
      </w:r>
      <w:r w:rsidR="00D933AE" w:rsidRPr="00B3281D">
        <w:rPr>
          <w:color w:val="000000"/>
          <w:lang w:val="en-GB"/>
        </w:rPr>
        <w:t xml:space="preserve"> regarding the criminal case into the </w:t>
      </w:r>
      <w:r w:rsidR="00A04061" w:rsidRPr="00B3281D">
        <w:rPr>
          <w:color w:val="000000"/>
          <w:lang w:val="en-GB"/>
        </w:rPr>
        <w:t>killing</w:t>
      </w:r>
      <w:r w:rsidR="00D933AE" w:rsidRPr="00B3281D">
        <w:rPr>
          <w:color w:val="000000"/>
          <w:lang w:val="en-GB"/>
        </w:rPr>
        <w:t xml:space="preserve"> of </w:t>
      </w:r>
      <w:r w:rsidR="00D933AE" w:rsidRPr="00B3281D">
        <w:rPr>
          <w:lang w:val="en-GB"/>
        </w:rPr>
        <w:t>Zoran Nedeljković</w:t>
      </w:r>
      <w:r w:rsidR="003A5880" w:rsidRPr="00B3281D">
        <w:rPr>
          <w:lang w:val="en-GB"/>
        </w:rPr>
        <w:t xml:space="preserve"> besides that which is contained in UNMIK OMPF file</w:t>
      </w:r>
      <w:r w:rsidR="003261AD" w:rsidRPr="00B3281D">
        <w:rPr>
          <w:color w:val="000000"/>
          <w:lang w:val="en-GB"/>
        </w:rPr>
        <w:t>, nor</w:t>
      </w:r>
      <w:r w:rsidR="003261AD" w:rsidRPr="00B3281D">
        <w:rPr>
          <w:lang w:val="en-GB"/>
        </w:rPr>
        <w:t xml:space="preserve"> </w:t>
      </w:r>
      <w:r w:rsidR="00A813B6" w:rsidRPr="00B3281D">
        <w:rPr>
          <w:lang w:val="en-GB"/>
        </w:rPr>
        <w:t xml:space="preserve">has </w:t>
      </w:r>
      <w:r w:rsidR="00454AA4" w:rsidRPr="00B3281D">
        <w:rPr>
          <w:lang w:val="en-GB"/>
        </w:rPr>
        <w:t xml:space="preserve">it </w:t>
      </w:r>
      <w:r w:rsidR="003261AD" w:rsidRPr="00B3281D">
        <w:rPr>
          <w:lang w:val="en-GB"/>
        </w:rPr>
        <w:t>in a “satisfactory and convincing</w:t>
      </w:r>
      <w:r w:rsidR="003261AD" w:rsidRPr="006004B6">
        <w:rPr>
          <w:lang w:val="en-GB"/>
        </w:rPr>
        <w:t>” way e</w:t>
      </w:r>
      <w:r w:rsidR="002A59F7" w:rsidRPr="006004B6">
        <w:rPr>
          <w:lang w:val="en-GB"/>
        </w:rPr>
        <w:t>xplain</w:t>
      </w:r>
      <w:r w:rsidR="00A813B6" w:rsidRPr="006004B6">
        <w:rPr>
          <w:lang w:val="en-GB"/>
        </w:rPr>
        <w:t>ed</w:t>
      </w:r>
      <w:r w:rsidR="002A59F7" w:rsidRPr="006004B6">
        <w:rPr>
          <w:lang w:val="en-GB"/>
        </w:rPr>
        <w:t xml:space="preserve"> its failure to do so.</w:t>
      </w:r>
      <w:r w:rsidR="001E4540" w:rsidRPr="006004B6">
        <w:rPr>
          <w:lang w:val="en-GB"/>
        </w:rPr>
        <w:t xml:space="preserve"> </w:t>
      </w:r>
      <w:r w:rsidRPr="00A5537A">
        <w:t>Accordingly, the Panel will draw inferences from this situation.</w:t>
      </w:r>
    </w:p>
    <w:p w:rsidR="002A59F7" w:rsidRPr="006004B6" w:rsidRDefault="002A59F7" w:rsidP="006004B6">
      <w:pPr>
        <w:tabs>
          <w:tab w:val="left" w:pos="360"/>
        </w:tabs>
        <w:suppressAutoHyphens/>
        <w:autoSpaceDE w:val="0"/>
        <w:ind w:left="360"/>
        <w:jc w:val="both"/>
        <w:rPr>
          <w:lang w:val="en-GB"/>
        </w:rPr>
      </w:pPr>
    </w:p>
    <w:p w:rsidR="002A59F7" w:rsidRPr="00A25238" w:rsidRDefault="006004B6" w:rsidP="00A840B5">
      <w:pPr>
        <w:numPr>
          <w:ilvl w:val="0"/>
          <w:numId w:val="6"/>
        </w:numPr>
        <w:jc w:val="both"/>
        <w:rPr>
          <w:lang w:val="en-GB"/>
        </w:rPr>
      </w:pPr>
      <w:r w:rsidRPr="00A5537A">
        <w:t xml:space="preserve">The Panel notes that according to the 2000 Annual Report of UNMIK Police, at least from mid-September 1999 the whole system of criminal investigation in Prishtinë/Priŝtina region was under the full control of UNMIK. Therefore, it was UNMIK’s responsibility to ensure, </w:t>
      </w:r>
      <w:r w:rsidRPr="00A5537A">
        <w:rPr>
          <w:i/>
        </w:rPr>
        <w:t>first</w:t>
      </w:r>
      <w:r w:rsidRPr="00A5537A">
        <w:t xml:space="preserve">, that the investigation is conducted expeditiously and efficiently; </w:t>
      </w:r>
      <w:r w:rsidRPr="00A5537A">
        <w:rPr>
          <w:i/>
        </w:rPr>
        <w:t>second</w:t>
      </w:r>
      <w:r w:rsidRPr="00A5537A">
        <w:t xml:space="preserve">, that all relevant investigative material is properly handed over to the authority taking over  responsibility for investigation (EULEX, see § </w:t>
      </w:r>
      <w:fldSimple w:instr=" REF _Ref346123927 \r \h  \* MERGEFORMAT ">
        <w:r w:rsidR="00CD172E">
          <w:t>16</w:t>
        </w:r>
      </w:fldSimple>
      <w:r w:rsidRPr="00A5537A">
        <w:t xml:space="preserve"> above); and </w:t>
      </w:r>
      <w:r w:rsidRPr="00A5537A">
        <w:rPr>
          <w:i/>
        </w:rPr>
        <w:t>third</w:t>
      </w:r>
      <w:r w:rsidRPr="00A5537A">
        <w:t>, that the investigative files could be traced and retrieved, should a need  arise at any later stage.</w:t>
      </w:r>
    </w:p>
    <w:p w:rsidR="00C2799A" w:rsidRPr="00A25238" w:rsidRDefault="00C2799A" w:rsidP="00EC64DD">
      <w:pPr>
        <w:pStyle w:val="ListParagraph"/>
        <w:tabs>
          <w:tab w:val="left" w:pos="360"/>
        </w:tabs>
        <w:ind w:left="360" w:hanging="360"/>
        <w:rPr>
          <w:lang w:val="en-GB"/>
        </w:rPr>
      </w:pPr>
    </w:p>
    <w:p w:rsidR="002A59F7" w:rsidRPr="00A25238" w:rsidRDefault="006004B6" w:rsidP="00A840B5">
      <w:pPr>
        <w:numPr>
          <w:ilvl w:val="0"/>
          <w:numId w:val="6"/>
        </w:numPr>
        <w:jc w:val="both"/>
        <w:rPr>
          <w:lang w:val="en-GB"/>
        </w:rPr>
      </w:pPr>
      <w:r w:rsidRPr="00A5537A">
        <w:t xml:space="preserve">The Panel infers from the absence of any investigative file that one of the following situations occurred: no investigation was carried out; UNMIK deliberately opted not to present the file to the Panel, despite its obligation to </w:t>
      </w:r>
      <w:r w:rsidRPr="00A5537A">
        <w:rPr>
          <w:color w:val="000000"/>
        </w:rPr>
        <w:t xml:space="preserve">cooperate with the Panel and to provide it with the necessary assistance, including the release of documents relevant to the complaints </w:t>
      </w:r>
      <w:r w:rsidRPr="00A5537A">
        <w:t>under</w:t>
      </w:r>
      <w:r w:rsidRPr="00A5537A">
        <w:rPr>
          <w:color w:val="000000"/>
        </w:rPr>
        <w:t xml:space="preserve"> Section 15 of UNMIK Regulation No. 2006/12 (cited in § </w:t>
      </w:r>
      <w:fldSimple w:instr=" REF _Ref347495661 \r \h  \* MERGEFORMAT ">
        <w:r w:rsidR="00CD172E" w:rsidRPr="00CD172E">
          <w:rPr>
            <w:color w:val="000000"/>
          </w:rPr>
          <w:t>38</w:t>
        </w:r>
      </w:fldSimple>
      <w:r w:rsidRPr="00A5537A">
        <w:rPr>
          <w:color w:val="000000"/>
        </w:rPr>
        <w:t xml:space="preserve"> above); the file was not properly handed over to EULEX; or UNMIK failed to retrieve the file from the current custodian.</w:t>
      </w:r>
    </w:p>
    <w:p w:rsidR="002A2F09" w:rsidRPr="00A25238" w:rsidRDefault="002A2F09" w:rsidP="00EC64DD">
      <w:pPr>
        <w:tabs>
          <w:tab w:val="left" w:pos="360"/>
        </w:tabs>
        <w:ind w:left="360" w:hanging="360"/>
        <w:jc w:val="both"/>
        <w:rPr>
          <w:lang w:val="en-GB"/>
        </w:rPr>
      </w:pPr>
    </w:p>
    <w:p w:rsidR="007F6026" w:rsidRPr="00A25238" w:rsidRDefault="006004B6" w:rsidP="00A840B5">
      <w:pPr>
        <w:numPr>
          <w:ilvl w:val="0"/>
          <w:numId w:val="6"/>
        </w:numPr>
        <w:jc w:val="both"/>
        <w:rPr>
          <w:lang w:val="en-GB"/>
        </w:rPr>
      </w:pPr>
      <w:r w:rsidRPr="00A5537A">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7F6026" w:rsidRPr="00A25238" w:rsidRDefault="007F6026" w:rsidP="00EC64DD">
      <w:pPr>
        <w:pStyle w:val="ListParagraph"/>
        <w:tabs>
          <w:tab w:val="left" w:pos="360"/>
        </w:tabs>
        <w:ind w:left="360" w:hanging="360"/>
        <w:rPr>
          <w:bCs/>
          <w:lang w:val="en-GB"/>
        </w:rPr>
      </w:pPr>
    </w:p>
    <w:p w:rsidR="007F6026" w:rsidRPr="00EA383C" w:rsidRDefault="00B53054" w:rsidP="00A840B5">
      <w:pPr>
        <w:numPr>
          <w:ilvl w:val="0"/>
          <w:numId w:val="6"/>
        </w:numPr>
        <w:jc w:val="both"/>
        <w:rPr>
          <w:lang w:val="en-GB"/>
        </w:rPr>
      </w:pPr>
      <w:r w:rsidRPr="00EA383C">
        <w:rPr>
          <w:bCs/>
          <w:lang w:val="en-GB"/>
        </w:rPr>
        <w:t xml:space="preserve">Examining the particulars of this case, </w:t>
      </w:r>
      <w:r w:rsidR="00F03599" w:rsidRPr="00EA383C">
        <w:rPr>
          <w:bCs/>
          <w:lang w:val="en-GB"/>
        </w:rPr>
        <w:t xml:space="preserve">the </w:t>
      </w:r>
      <w:r w:rsidR="00EA383C" w:rsidRPr="00A5537A">
        <w:rPr>
          <w:bCs/>
          <w:lang w:val="en-GB"/>
        </w:rPr>
        <w:t xml:space="preserve">Panel notes that there </w:t>
      </w:r>
      <w:r w:rsidR="00EA383C" w:rsidRPr="00A5537A">
        <w:t xml:space="preserve">were obvious shortcomings in the conduct of the investigation from its inception, having in mind that </w:t>
      </w:r>
      <w:r w:rsidR="00EA383C" w:rsidRPr="00A5537A">
        <w:rPr>
          <w:bCs/>
          <w:lang w:val="en-GB"/>
        </w:rPr>
        <w:t>that the initial stage of the investigation is of the utmost importance.</w:t>
      </w:r>
      <w:r w:rsidR="00EA383C">
        <w:rPr>
          <w:bCs/>
          <w:lang w:val="en-GB"/>
        </w:rPr>
        <w:t xml:space="preserve"> </w:t>
      </w:r>
      <w:r w:rsidR="00EA383C" w:rsidRPr="00A5537A">
        <w:t xml:space="preserve">However, in </w:t>
      </w:r>
      <w:r w:rsidR="00EA383C" w:rsidRPr="00A5537A">
        <w:rPr>
          <w:color w:val="000000"/>
        </w:rPr>
        <w:t xml:space="preserve">light of the considerations developed above concerning its limited temporal jurisdiction (see § </w:t>
      </w:r>
      <w:fldSimple w:instr=" REF _Ref346123885 \r \h  \* MERGEFORMAT ">
        <w:r w:rsidR="00CD172E" w:rsidRPr="00CD172E">
          <w:rPr>
            <w:color w:val="000000"/>
          </w:rPr>
          <w:t>40</w:t>
        </w:r>
      </w:fldSimple>
      <w:r w:rsidR="00127DD1">
        <w:t xml:space="preserve"> above</w:t>
      </w:r>
      <w:r w:rsidR="00EA383C" w:rsidRPr="00A5537A">
        <w:rPr>
          <w:color w:val="000000"/>
        </w:rPr>
        <w:t xml:space="preserve">), the Panel recalls that it is competent </w:t>
      </w:r>
      <w:r w:rsidR="00EA383C" w:rsidRPr="00A5537A">
        <w:rPr>
          <w:i/>
          <w:color w:val="000000"/>
        </w:rPr>
        <w:t>ratione temporis</w:t>
      </w:r>
      <w:r w:rsidR="00EA383C" w:rsidRPr="00A5537A">
        <w:rPr>
          <w:color w:val="000000"/>
        </w:rPr>
        <w:t xml:space="preserve"> to evaluate the compliance of the investigation with Article 2 of the ECHR only for the period after 23 April 2005, </w:t>
      </w:r>
      <w:r w:rsidR="00EA383C" w:rsidRPr="00A5537A">
        <w:t xml:space="preserve">while taking into consideration the state of the case at that date (ECtHR, </w:t>
      </w:r>
      <w:r w:rsidR="00EA383C" w:rsidRPr="00A5537A">
        <w:rPr>
          <w:i/>
        </w:rPr>
        <w:t>Palić v. Bosnia and Herzegovina</w:t>
      </w:r>
      <w:r w:rsidR="00EA383C" w:rsidRPr="00A5537A">
        <w:t xml:space="preserve">, cited in § </w:t>
      </w:r>
      <w:fldSimple w:instr=" REF _Ref346724174 \r \h  \* MERGEFORMAT ">
        <w:r w:rsidR="00CD172E">
          <w:t>62</w:t>
        </w:r>
      </w:fldSimple>
      <w:r w:rsidR="00EA383C" w:rsidRPr="00A5537A">
        <w:t xml:space="preserve"> above, at § 70)</w:t>
      </w:r>
      <w:r w:rsidR="00EA383C" w:rsidRPr="00A5537A">
        <w:rPr>
          <w:color w:val="000000"/>
        </w:rPr>
        <w:t xml:space="preserve">. The period under review ends on 9 December 2008, with EULEX taking over responsibility in the area of administration of justice (see § </w:t>
      </w:r>
      <w:fldSimple w:instr=" REF _Ref346123927 \r \h  \* MERGEFORMAT ">
        <w:r w:rsidR="00CD172E" w:rsidRPr="00CD172E">
          <w:rPr>
            <w:color w:val="000000"/>
          </w:rPr>
          <w:t>16</w:t>
        </w:r>
      </w:fldSimple>
      <w:r w:rsidR="00EA383C" w:rsidRPr="00A5537A">
        <w:rPr>
          <w:color w:val="000000"/>
        </w:rPr>
        <w:t xml:space="preserve"> above).</w:t>
      </w:r>
    </w:p>
    <w:p w:rsidR="00EA383C" w:rsidRPr="00EA383C" w:rsidRDefault="00EA383C" w:rsidP="00EA383C">
      <w:pPr>
        <w:tabs>
          <w:tab w:val="left" w:pos="360"/>
        </w:tabs>
        <w:jc w:val="both"/>
        <w:rPr>
          <w:lang w:val="en-GB"/>
        </w:rPr>
      </w:pPr>
    </w:p>
    <w:p w:rsidR="00D94FD5" w:rsidRPr="00A25238" w:rsidRDefault="00EA383C" w:rsidP="00A840B5">
      <w:pPr>
        <w:numPr>
          <w:ilvl w:val="0"/>
          <w:numId w:val="6"/>
        </w:numPr>
        <w:jc w:val="both"/>
        <w:rPr>
          <w:lang w:val="en-GB"/>
        </w:rPr>
      </w:pPr>
      <w:r w:rsidRPr="00A5537A">
        <w:t xml:space="preserve">The Panel notes that from the moment UNMIK became aware of the matter until 23 April 2005, the only actions undertaken by UNMIK relate to the exhumation, identification and handing over </w:t>
      </w:r>
      <w:r w:rsidRPr="00B3281D">
        <w:t>of</w:t>
      </w:r>
      <w:r w:rsidR="007F6026" w:rsidRPr="00B3281D">
        <w:rPr>
          <w:lang w:val="en-GB"/>
        </w:rPr>
        <w:t xml:space="preserve"> </w:t>
      </w:r>
      <w:r w:rsidR="00C049A7" w:rsidRPr="00B3281D">
        <w:rPr>
          <w:lang w:val="en-GB"/>
        </w:rPr>
        <w:t>Zoran Nedeljković</w:t>
      </w:r>
      <w:r w:rsidR="007F6026" w:rsidRPr="00B3281D">
        <w:rPr>
          <w:lang w:val="en-GB"/>
        </w:rPr>
        <w:t>’s mortal</w:t>
      </w:r>
      <w:r w:rsidR="007F6026" w:rsidRPr="00A25238">
        <w:rPr>
          <w:lang w:val="en-GB"/>
        </w:rPr>
        <w:t xml:space="preserve"> remains, which were carried out between </w:t>
      </w:r>
      <w:r w:rsidR="00C049A7">
        <w:rPr>
          <w:lang w:val="en-GB"/>
        </w:rPr>
        <w:t>April 2003</w:t>
      </w:r>
      <w:r w:rsidR="007F6026" w:rsidRPr="00A25238">
        <w:rPr>
          <w:lang w:val="en-GB"/>
        </w:rPr>
        <w:t xml:space="preserve"> and </w:t>
      </w:r>
      <w:r w:rsidR="00C049A7">
        <w:rPr>
          <w:lang w:val="en-GB"/>
        </w:rPr>
        <w:t>December</w:t>
      </w:r>
      <w:r w:rsidR="007F6026" w:rsidRPr="00A25238">
        <w:rPr>
          <w:lang w:val="en-GB"/>
        </w:rPr>
        <w:t xml:space="preserve"> 200</w:t>
      </w:r>
      <w:r w:rsidR="00C049A7">
        <w:rPr>
          <w:lang w:val="en-GB"/>
        </w:rPr>
        <w:t>4</w:t>
      </w:r>
      <w:r w:rsidR="007F6026" w:rsidRPr="00A25238">
        <w:rPr>
          <w:lang w:val="en-GB"/>
        </w:rPr>
        <w:t xml:space="preserve">. </w:t>
      </w:r>
      <w:r w:rsidRPr="00A5537A">
        <w:t xml:space="preserve">Although this must be considered in itself an important achievement, the Panel recalls that the procedural obligation under Article 2 did not come to an end with the discovery of </w:t>
      </w:r>
      <w:r w:rsidR="003A5880">
        <w:rPr>
          <w:lang w:val="en-GB"/>
        </w:rPr>
        <w:t>the mortal remains, especially as they</w:t>
      </w:r>
      <w:r w:rsidR="007F6026" w:rsidRPr="00A25238">
        <w:rPr>
          <w:lang w:val="en-GB"/>
        </w:rPr>
        <w:t xml:space="preserve"> showed signs of a violent death.</w:t>
      </w:r>
      <w:r w:rsidR="00BA4103" w:rsidRPr="00A25238">
        <w:rPr>
          <w:lang w:val="en-GB"/>
        </w:rPr>
        <w:t xml:space="preserve"> Nonetheless, there is no evidence that any action was undertaken </w:t>
      </w:r>
      <w:r w:rsidR="00D94FD5" w:rsidRPr="00A25238">
        <w:rPr>
          <w:lang w:val="en-GB"/>
        </w:rPr>
        <w:t xml:space="preserve">with respect to clarifying the circumstances surrounding </w:t>
      </w:r>
      <w:r w:rsidR="00C049A7" w:rsidRPr="00B3281D">
        <w:rPr>
          <w:lang w:val="en-GB"/>
        </w:rPr>
        <w:t>Zoran Nedeljković</w:t>
      </w:r>
      <w:r w:rsidR="00D94FD5" w:rsidRPr="00B3281D">
        <w:rPr>
          <w:lang w:val="en-GB"/>
        </w:rPr>
        <w:t>’s</w:t>
      </w:r>
      <w:r w:rsidR="00D94FD5" w:rsidRPr="00A25238">
        <w:rPr>
          <w:lang w:val="en-GB"/>
        </w:rPr>
        <w:t xml:space="preserve"> disappearance and </w:t>
      </w:r>
      <w:r w:rsidR="00A04061">
        <w:rPr>
          <w:lang w:val="en-GB"/>
        </w:rPr>
        <w:t>killing</w:t>
      </w:r>
      <w:r w:rsidR="00D94FD5" w:rsidRPr="00B3281D">
        <w:rPr>
          <w:lang w:val="en-GB"/>
        </w:rPr>
        <w:t>.</w:t>
      </w:r>
    </w:p>
    <w:p w:rsidR="00D94FD5" w:rsidRPr="00A25238" w:rsidRDefault="00D94FD5" w:rsidP="00EC64DD">
      <w:pPr>
        <w:tabs>
          <w:tab w:val="left" w:pos="360"/>
        </w:tabs>
        <w:ind w:left="360" w:hanging="360"/>
        <w:jc w:val="both"/>
        <w:rPr>
          <w:lang w:val="en-GB"/>
        </w:rPr>
      </w:pPr>
    </w:p>
    <w:p w:rsidR="000D0C46" w:rsidRPr="00B3281D" w:rsidRDefault="00BA4103" w:rsidP="00A840B5">
      <w:pPr>
        <w:numPr>
          <w:ilvl w:val="0"/>
          <w:numId w:val="6"/>
        </w:numPr>
        <w:jc w:val="both"/>
        <w:rPr>
          <w:lang w:val="en-GB"/>
        </w:rPr>
      </w:pPr>
      <w:r w:rsidRPr="00B3281D">
        <w:rPr>
          <w:color w:val="000000"/>
          <w:lang w:val="en-GB"/>
        </w:rPr>
        <w:t>In particular, there is no indication that UNMIK Police undertook</w:t>
      </w:r>
      <w:r w:rsidR="00774E65" w:rsidRPr="00B3281D">
        <w:rPr>
          <w:color w:val="000000"/>
          <w:lang w:val="en-GB"/>
        </w:rPr>
        <w:t>,</w:t>
      </w:r>
      <w:r w:rsidR="000D0C46" w:rsidRPr="00B3281D">
        <w:rPr>
          <w:color w:val="000000"/>
          <w:lang w:val="en-GB"/>
        </w:rPr>
        <w:t xml:space="preserve"> </w:t>
      </w:r>
      <w:r w:rsidR="003A5E2D" w:rsidRPr="00B3281D">
        <w:rPr>
          <w:color w:val="000000"/>
          <w:lang w:val="en-GB"/>
        </w:rPr>
        <w:t>in this respect</w:t>
      </w:r>
      <w:r w:rsidR="00774E65" w:rsidRPr="00B3281D">
        <w:rPr>
          <w:color w:val="000000"/>
          <w:lang w:val="en-GB"/>
        </w:rPr>
        <w:t>,</w:t>
      </w:r>
      <w:r w:rsidR="003A5E2D" w:rsidRPr="00B3281D">
        <w:rPr>
          <w:color w:val="000000"/>
          <w:lang w:val="en-GB"/>
        </w:rPr>
        <w:t xml:space="preserve"> </w:t>
      </w:r>
      <w:r w:rsidR="000D0C46" w:rsidRPr="00B3281D">
        <w:rPr>
          <w:color w:val="000000"/>
          <w:lang w:val="en-GB"/>
        </w:rPr>
        <w:t>any</w:t>
      </w:r>
      <w:r w:rsidRPr="00B3281D">
        <w:rPr>
          <w:color w:val="000000"/>
          <w:lang w:val="en-GB"/>
        </w:rPr>
        <w:t xml:space="preserve"> investigative s</w:t>
      </w:r>
      <w:r w:rsidR="000D0C46" w:rsidRPr="00B3281D">
        <w:rPr>
          <w:color w:val="000000"/>
          <w:lang w:val="en-GB"/>
        </w:rPr>
        <w:t xml:space="preserve">teps </w:t>
      </w:r>
      <w:r w:rsidRPr="00B3281D">
        <w:rPr>
          <w:color w:val="000000"/>
          <w:lang w:val="en-GB"/>
        </w:rPr>
        <w:t xml:space="preserve">such as: </w:t>
      </w:r>
      <w:r w:rsidR="009A1A66" w:rsidRPr="00B3281D">
        <w:rPr>
          <w:color w:val="000000"/>
          <w:lang w:val="en-GB"/>
        </w:rPr>
        <w:t>interviewing the compl</w:t>
      </w:r>
      <w:r w:rsidR="003A5880" w:rsidRPr="00B3281D">
        <w:rPr>
          <w:color w:val="000000"/>
          <w:lang w:val="en-GB"/>
        </w:rPr>
        <w:t>ainant and other family members and</w:t>
      </w:r>
      <w:r w:rsidR="009A1A66" w:rsidRPr="00B3281D">
        <w:rPr>
          <w:color w:val="000000"/>
          <w:lang w:val="en-GB"/>
        </w:rPr>
        <w:t xml:space="preserve"> interviewing potential witnesses</w:t>
      </w:r>
      <w:r w:rsidR="003A5880" w:rsidRPr="00B3281D">
        <w:rPr>
          <w:color w:val="000000"/>
          <w:lang w:val="en-GB"/>
        </w:rPr>
        <w:t>, for example his work colleagues.</w:t>
      </w:r>
    </w:p>
    <w:p w:rsidR="00C049A7" w:rsidRPr="00C049A7" w:rsidRDefault="00C049A7" w:rsidP="00C049A7">
      <w:pPr>
        <w:tabs>
          <w:tab w:val="left" w:pos="360"/>
        </w:tabs>
        <w:jc w:val="both"/>
        <w:rPr>
          <w:lang w:val="en-GB"/>
        </w:rPr>
      </w:pPr>
    </w:p>
    <w:p w:rsidR="00EA383C" w:rsidRPr="00EA383C" w:rsidRDefault="000D0C46" w:rsidP="00A840B5">
      <w:pPr>
        <w:numPr>
          <w:ilvl w:val="0"/>
          <w:numId w:val="6"/>
        </w:numPr>
        <w:jc w:val="both"/>
        <w:rPr>
          <w:lang w:val="en-GB"/>
        </w:rPr>
      </w:pPr>
      <w:r w:rsidRPr="00B3281D">
        <w:rPr>
          <w:color w:val="000000"/>
          <w:lang w:val="en-GB"/>
        </w:rPr>
        <w:t xml:space="preserve">Coming to the period within its jurisdiction, starting from 23 April 2005, </w:t>
      </w:r>
      <w:r w:rsidR="009537CA" w:rsidRPr="00A5537A">
        <w:rPr>
          <w:color w:val="000000"/>
        </w:rPr>
        <w:t>the Panel notes that there is no evidence that</w:t>
      </w:r>
      <w:r w:rsidR="003A5880">
        <w:rPr>
          <w:color w:val="000000"/>
        </w:rPr>
        <w:t xml:space="preserve"> those</w:t>
      </w:r>
      <w:r w:rsidR="009537CA" w:rsidRPr="00A5537A">
        <w:rPr>
          <w:color w:val="000000"/>
        </w:rPr>
        <w:t xml:space="preserve"> basic investigative steps</w:t>
      </w:r>
      <w:r w:rsidR="009537CA" w:rsidRPr="00A5537A">
        <w:t xml:space="preserve"> had been carried out</w:t>
      </w:r>
      <w:r w:rsidR="003A5880">
        <w:t>.</w:t>
      </w:r>
      <w:r w:rsidR="009537CA" w:rsidRPr="009537CA">
        <w:rPr>
          <w:color w:val="000000"/>
        </w:rPr>
        <w:t xml:space="preserve"> </w:t>
      </w:r>
      <w:r w:rsidR="009537CA">
        <w:rPr>
          <w:color w:val="000000"/>
        </w:rPr>
        <w:t xml:space="preserve">After that critical date </w:t>
      </w:r>
      <w:r w:rsidR="00EA383C" w:rsidRPr="00EA383C">
        <w:t xml:space="preserve">the failure to conduct the necessary investigative actions persisted, thus, in accordance with the continuing obligation to investigate </w:t>
      </w:r>
      <w:r w:rsidR="00EA383C" w:rsidRPr="00EA383C">
        <w:rPr>
          <w:color w:val="000000"/>
          <w:lang w:val="en-GB"/>
        </w:rPr>
        <w:t xml:space="preserve">(see § </w:t>
      </w:r>
      <w:fldSimple w:instr=" REF _Ref342300077 \r \h  \* MERGEFORMAT ">
        <w:r w:rsidR="00CD172E" w:rsidRPr="00CD172E">
          <w:rPr>
            <w:color w:val="000000"/>
            <w:lang w:val="en-GB"/>
          </w:rPr>
          <w:t>64</w:t>
        </w:r>
      </w:fldSimple>
      <w:r w:rsidR="00EA383C" w:rsidRPr="00EA383C">
        <w:rPr>
          <w:color w:val="000000"/>
          <w:lang w:val="en-GB"/>
        </w:rPr>
        <w:t xml:space="preserve"> above)</w:t>
      </w:r>
      <w:r w:rsidR="00EA383C" w:rsidRPr="00EA383C">
        <w:t>, bringing the assessment of the whole investigation within the period of the Panel’s jurisdiction.</w:t>
      </w:r>
    </w:p>
    <w:p w:rsidR="00EA383C" w:rsidRPr="00BA653B" w:rsidRDefault="00EA383C" w:rsidP="00EA383C">
      <w:pPr>
        <w:jc w:val="both"/>
        <w:rPr>
          <w:highlight w:val="yellow"/>
          <w:lang w:val="en-GB"/>
        </w:rPr>
      </w:pPr>
    </w:p>
    <w:p w:rsidR="000D0C46" w:rsidRPr="00A25238" w:rsidRDefault="00EA383C" w:rsidP="00A840B5">
      <w:pPr>
        <w:pStyle w:val="ListParagraph"/>
        <w:numPr>
          <w:ilvl w:val="0"/>
          <w:numId w:val="6"/>
        </w:numPr>
        <w:autoSpaceDE w:val="0"/>
        <w:contextualSpacing/>
        <w:jc w:val="both"/>
        <w:rPr>
          <w:color w:val="000000"/>
          <w:lang w:val="en-GB" w:eastAsia="en-US"/>
        </w:rPr>
      </w:pPr>
      <w:r w:rsidRPr="00EA383C">
        <w:rPr>
          <w:color w:val="000000"/>
        </w:rPr>
        <w:t xml:space="preserve">In addition, the Panel considers that, as those responsible for the crime had not been located, UNMIK was obligated to use the means at its disposal to regularly review the </w:t>
      </w:r>
      <w:r w:rsidR="00182322" w:rsidRPr="00B3281D">
        <w:rPr>
          <w:color w:val="000000"/>
          <w:lang w:val="en-GB"/>
        </w:rPr>
        <w:t xml:space="preserve">case. </w:t>
      </w:r>
      <w:r w:rsidR="003A5880" w:rsidRPr="00B3281D">
        <w:rPr>
          <w:color w:val="000000"/>
          <w:lang w:val="en-GB"/>
        </w:rPr>
        <w:t>The objective was</w:t>
      </w:r>
      <w:r w:rsidR="00BA653B" w:rsidRPr="00B3281D">
        <w:rPr>
          <w:color w:val="000000"/>
          <w:lang w:val="en-GB"/>
        </w:rPr>
        <w:t xml:space="preserve"> to</w:t>
      </w:r>
      <w:r w:rsidR="000D0C46" w:rsidRPr="00B3281D">
        <w:rPr>
          <w:color w:val="000000"/>
          <w:lang w:val="en-GB"/>
        </w:rPr>
        <w:t xml:space="preserve"> ensure that</w:t>
      </w:r>
      <w:r w:rsidR="000D0C46" w:rsidRPr="00A25238">
        <w:rPr>
          <w:color w:val="000000"/>
          <w:lang w:val="en-GB"/>
        </w:rPr>
        <w:t xml:space="preserve"> </w:t>
      </w:r>
      <w:r w:rsidR="00995F95" w:rsidRPr="00A25238">
        <w:rPr>
          <w:color w:val="000000"/>
          <w:lang w:val="en-GB"/>
        </w:rPr>
        <w:t xml:space="preserve">nothing had been overlooked and any new </w:t>
      </w:r>
      <w:r w:rsidR="00AE4434" w:rsidRPr="00A25238">
        <w:rPr>
          <w:color w:val="000000"/>
          <w:lang w:val="en-GB"/>
        </w:rPr>
        <w:t xml:space="preserve">evidence </w:t>
      </w:r>
      <w:r w:rsidR="00995F95" w:rsidRPr="00A25238">
        <w:rPr>
          <w:color w:val="000000"/>
          <w:lang w:val="en-GB"/>
        </w:rPr>
        <w:t>had been considered</w:t>
      </w:r>
      <w:r w:rsidR="00AA5985" w:rsidRPr="00A25238">
        <w:rPr>
          <w:color w:val="000000"/>
          <w:lang w:val="en-GB"/>
        </w:rPr>
        <w:t xml:space="preserve">, </w:t>
      </w:r>
      <w:r w:rsidR="000D0C46" w:rsidRPr="00A25238">
        <w:rPr>
          <w:color w:val="000000"/>
          <w:lang w:val="en-GB"/>
        </w:rPr>
        <w:t>as</w:t>
      </w:r>
      <w:r w:rsidR="000D0C46" w:rsidRPr="00A25238">
        <w:rPr>
          <w:lang w:val="en-GB"/>
        </w:rPr>
        <w:t xml:space="preserve"> well</w:t>
      </w:r>
      <w:r w:rsidR="000D0C46" w:rsidRPr="00A25238">
        <w:rPr>
          <w:b/>
          <w:color w:val="0000CC"/>
          <w:lang w:val="en-GB"/>
        </w:rPr>
        <w:t xml:space="preserve"> </w:t>
      </w:r>
      <w:r w:rsidR="000D0C46" w:rsidRPr="00A25238">
        <w:rPr>
          <w:lang w:val="en-GB"/>
        </w:rPr>
        <w:t xml:space="preserve">as to inform the relatives </w:t>
      </w:r>
      <w:r w:rsidR="000D0C46" w:rsidRPr="00B3281D">
        <w:rPr>
          <w:lang w:val="en-GB"/>
        </w:rPr>
        <w:t>of</w:t>
      </w:r>
      <w:r w:rsidR="000D0C46" w:rsidRPr="00B3281D">
        <w:rPr>
          <w:b/>
          <w:color w:val="0000CC"/>
          <w:lang w:val="en-GB"/>
        </w:rPr>
        <w:t xml:space="preserve"> </w:t>
      </w:r>
      <w:r w:rsidR="00BA653B" w:rsidRPr="00B3281D">
        <w:rPr>
          <w:lang w:val="en-GB"/>
        </w:rPr>
        <w:t>Zoran Nedeljković</w:t>
      </w:r>
      <w:r w:rsidR="000D0C46" w:rsidRPr="00A25238">
        <w:rPr>
          <w:color w:val="000000"/>
          <w:lang w:val="en-GB"/>
        </w:rPr>
        <w:t xml:space="preserve"> regarding any possible new leads of enquiry</w:t>
      </w:r>
      <w:r w:rsidR="000D0C46" w:rsidRPr="009537CA">
        <w:rPr>
          <w:color w:val="000000"/>
          <w:lang w:val="en-GB"/>
        </w:rPr>
        <w:t>.</w:t>
      </w:r>
      <w:r w:rsidR="000D0C46" w:rsidRPr="00A25238">
        <w:rPr>
          <w:color w:val="000000"/>
          <w:lang w:val="en-GB"/>
        </w:rPr>
        <w:t xml:space="preserve"> However, </w:t>
      </w:r>
      <w:r w:rsidR="00995F95" w:rsidRPr="00A25238">
        <w:rPr>
          <w:color w:val="000000"/>
          <w:lang w:val="en-GB"/>
        </w:rPr>
        <w:t>there is no indication that any such review</w:t>
      </w:r>
      <w:r w:rsidR="000D0C46" w:rsidRPr="00A25238">
        <w:rPr>
          <w:color w:val="000000"/>
          <w:lang w:val="en-GB"/>
        </w:rPr>
        <w:t xml:space="preserve"> </w:t>
      </w:r>
      <w:r w:rsidR="009A1A66" w:rsidRPr="00A25238">
        <w:rPr>
          <w:color w:val="000000"/>
          <w:lang w:val="en-GB"/>
        </w:rPr>
        <w:t xml:space="preserve">was ever </w:t>
      </w:r>
      <w:r w:rsidR="00995F95" w:rsidRPr="00A25238">
        <w:rPr>
          <w:color w:val="000000"/>
          <w:lang w:val="en-GB"/>
        </w:rPr>
        <w:t>undertaken</w:t>
      </w:r>
      <w:r w:rsidR="009A1A66" w:rsidRPr="00A25238">
        <w:rPr>
          <w:color w:val="000000"/>
          <w:lang w:val="en-GB"/>
        </w:rPr>
        <w:t>.</w:t>
      </w:r>
    </w:p>
    <w:p w:rsidR="004073C4" w:rsidRPr="00A25238" w:rsidRDefault="004073C4" w:rsidP="00EC64DD">
      <w:pPr>
        <w:tabs>
          <w:tab w:val="left" w:pos="360"/>
        </w:tabs>
        <w:autoSpaceDE w:val="0"/>
        <w:ind w:left="360" w:hanging="360"/>
        <w:contextualSpacing/>
        <w:jc w:val="both"/>
        <w:rPr>
          <w:color w:val="000000"/>
          <w:lang w:val="en-GB"/>
        </w:rPr>
      </w:pPr>
    </w:p>
    <w:p w:rsidR="00DB2E6D" w:rsidRPr="00EA383C" w:rsidRDefault="00EA383C" w:rsidP="00A840B5">
      <w:pPr>
        <w:numPr>
          <w:ilvl w:val="0"/>
          <w:numId w:val="6"/>
        </w:numPr>
        <w:suppressAutoHyphens/>
        <w:autoSpaceDE w:val="0"/>
        <w:contextualSpacing/>
        <w:jc w:val="both"/>
        <w:rPr>
          <w:lang w:val="en-GB"/>
        </w:rPr>
      </w:pPr>
      <w:r w:rsidRPr="00EA383C">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DB2E6D" w:rsidRPr="00A25238" w:rsidRDefault="00DB2E6D" w:rsidP="00DB2E6D">
      <w:pPr>
        <w:pStyle w:val="ListParagraph"/>
        <w:rPr>
          <w:lang w:val="en-GB"/>
        </w:rPr>
      </w:pPr>
    </w:p>
    <w:p w:rsidR="00D92AAE" w:rsidRDefault="003A5880" w:rsidP="00A840B5">
      <w:pPr>
        <w:numPr>
          <w:ilvl w:val="0"/>
          <w:numId w:val="6"/>
        </w:numPr>
        <w:suppressAutoHyphens/>
        <w:autoSpaceDE w:val="0"/>
        <w:jc w:val="both"/>
        <w:rPr>
          <w:bCs/>
          <w:lang w:val="en-GB"/>
        </w:rPr>
      </w:pPr>
      <w:r w:rsidRPr="00B3281D">
        <w:rPr>
          <w:rStyle w:val="Strong"/>
          <w:b w:val="0"/>
        </w:rPr>
        <w:t>T</w:t>
      </w:r>
      <w:r w:rsidR="000312A2" w:rsidRPr="00B3281D">
        <w:rPr>
          <w:rStyle w:val="Strong"/>
          <w:b w:val="0"/>
        </w:rPr>
        <w:t xml:space="preserve">he SRSG’s statement </w:t>
      </w:r>
      <w:r w:rsidR="00A840B5" w:rsidRPr="00B3281D">
        <w:rPr>
          <w:rStyle w:val="Strong"/>
          <w:b w:val="0"/>
        </w:rPr>
        <w:t>with respect to</w:t>
      </w:r>
      <w:r w:rsidR="000312A2" w:rsidRPr="00B3281D">
        <w:rPr>
          <w:rStyle w:val="Strong"/>
          <w:b w:val="0"/>
        </w:rPr>
        <w:t xml:space="preserve"> the specific challenges faced by UNMIK regarding the large number of missing persons </w:t>
      </w:r>
      <w:r w:rsidR="000312A2" w:rsidRPr="00B3281D">
        <w:t>leads to an implicit argument that such cases were not considered a priority.</w:t>
      </w:r>
      <w:r w:rsidR="000312A2" w:rsidRPr="00B3281D">
        <w:rPr>
          <w:b/>
        </w:rPr>
        <w:t xml:space="preserve"> </w:t>
      </w:r>
      <w:r w:rsidR="000312A2" w:rsidRPr="00B3281D">
        <w:t>T</w:t>
      </w:r>
      <w:r w:rsidR="000312A2" w:rsidRPr="00B3281D">
        <w:rPr>
          <w:rStyle w:val="Strong"/>
          <w:b w:val="0"/>
        </w:rPr>
        <w:t xml:space="preserve">he Panel </w:t>
      </w:r>
      <w:r w:rsidR="00EA383C" w:rsidRPr="00B3281D">
        <w:rPr>
          <w:bCs/>
          <w:lang w:val="en-GB"/>
        </w:rPr>
        <w:t>agrees that in a situation of a massive influx of potential criminal reports where there is limite</w:t>
      </w:r>
      <w:r w:rsidR="00EA383C" w:rsidRPr="00A5537A">
        <w:rPr>
          <w:bCs/>
          <w:lang w:val="en-GB"/>
        </w:rPr>
        <w:t xml:space="preserve">d police investigative capacity on the ground, prioritisation is one of the ways of maintaining a level of efficiency, when only the most serious cases with obvious leads are addressed. In this respect, the Panel considers the pre-eminence of the right to life in international instruments on the protection of human rights </w:t>
      </w:r>
      <w:r w:rsidR="00EA383C" w:rsidRPr="00A5537A">
        <w:rPr>
          <w:bCs/>
          <w:color w:val="000000"/>
          <w:lang w:val="en-GB"/>
        </w:rPr>
        <w:t xml:space="preserve">(see, for instance, ECtHR, </w:t>
      </w:r>
      <w:r w:rsidR="00EA383C" w:rsidRPr="00A5537A">
        <w:rPr>
          <w:bCs/>
          <w:i/>
          <w:color w:val="000000"/>
          <w:lang w:val="en-GB"/>
        </w:rPr>
        <w:t xml:space="preserve">Streletz, </w:t>
      </w:r>
      <w:r w:rsidR="00EA383C" w:rsidRPr="00A5537A">
        <w:rPr>
          <w:bCs/>
          <w:i/>
          <w:iCs/>
          <w:color w:val="000000"/>
        </w:rPr>
        <w:t xml:space="preserve">Kessler and Krenz v. Germany </w:t>
      </w:r>
      <w:r w:rsidR="00EA383C" w:rsidRPr="00A5537A">
        <w:rPr>
          <w:bCs/>
          <w:color w:val="000000"/>
        </w:rPr>
        <w:t>[GC]</w:t>
      </w:r>
      <w:r w:rsidR="00EA383C" w:rsidRPr="00A5537A">
        <w:rPr>
          <w:bCs/>
          <w:color w:val="000000"/>
          <w:lang w:val="en-GB"/>
        </w:rPr>
        <w:t>, nos 34044/96, 35532/97 and 44801/98</w:t>
      </w:r>
      <w:r w:rsidR="00EA383C" w:rsidRPr="00A5537A">
        <w:rPr>
          <w:bCs/>
          <w:lang w:val="en-GB"/>
        </w:rPr>
        <w:t>, judgment of 22 March 2001, § 85, ECHR 2001-II). In any event, such categorisation of an investigation should take place only after the minimum possible investigative actions have been undertaken and obtainable information has been collected and analysed. In this case, prioritisation should not have been made when no information on the circumstances of the death had been gathered, especially as it had occurred in an obviously life-threatening environment and suspicious circumstances.</w:t>
      </w:r>
    </w:p>
    <w:p w:rsidR="00EA383C" w:rsidRPr="00EA383C" w:rsidRDefault="00EA383C" w:rsidP="00EA383C">
      <w:pPr>
        <w:tabs>
          <w:tab w:val="left" w:pos="360"/>
        </w:tabs>
        <w:suppressAutoHyphens/>
        <w:autoSpaceDE w:val="0"/>
        <w:ind w:left="360"/>
        <w:jc w:val="both"/>
        <w:rPr>
          <w:bCs/>
          <w:lang w:val="en-GB"/>
        </w:rPr>
      </w:pPr>
    </w:p>
    <w:p w:rsidR="0069625D" w:rsidRPr="00A5537A" w:rsidRDefault="00B67EAB" w:rsidP="00A840B5">
      <w:pPr>
        <w:numPr>
          <w:ilvl w:val="0"/>
          <w:numId w:val="6"/>
        </w:numPr>
        <w:suppressAutoHyphens/>
        <w:autoSpaceDE w:val="0"/>
        <w:jc w:val="both"/>
        <w:rPr>
          <w:color w:val="000000"/>
        </w:rPr>
      </w:pPr>
      <w:bookmarkStart w:id="23" w:name="_Ref342040362"/>
      <w:r w:rsidRPr="00A25238">
        <w:rPr>
          <w:lang w:val="en-GB"/>
        </w:rPr>
        <w:t>The Panel therefore considers that, having regard to all the circumsta</w:t>
      </w:r>
      <w:r w:rsidR="00995F95" w:rsidRPr="00A25238">
        <w:rPr>
          <w:lang w:val="en-GB"/>
        </w:rPr>
        <w:t>nces of the particular case, no</w:t>
      </w:r>
      <w:r w:rsidRPr="00A25238">
        <w:rPr>
          <w:lang w:val="en-GB"/>
        </w:rPr>
        <w:t xml:space="preserve"> steps </w:t>
      </w:r>
      <w:r w:rsidR="00995F95" w:rsidRPr="00A25238">
        <w:rPr>
          <w:lang w:val="en-GB"/>
        </w:rPr>
        <w:t xml:space="preserve">appear to have been taken by UNMIK to clarify the circumstances </w:t>
      </w:r>
      <w:r w:rsidR="00995F95" w:rsidRPr="00B3281D">
        <w:rPr>
          <w:lang w:val="en-GB"/>
        </w:rPr>
        <w:t xml:space="preserve">of </w:t>
      </w:r>
      <w:r w:rsidR="00FA67B0" w:rsidRPr="00B3281D">
        <w:rPr>
          <w:lang w:val="en-GB"/>
        </w:rPr>
        <w:t>Zoran Nedeljković</w:t>
      </w:r>
      <w:r w:rsidR="00995F95" w:rsidRPr="00B3281D">
        <w:rPr>
          <w:lang w:val="en-GB"/>
        </w:rPr>
        <w:t>’s disappearance</w:t>
      </w:r>
      <w:r w:rsidR="00995F95" w:rsidRPr="00A25238">
        <w:rPr>
          <w:lang w:val="en-GB"/>
        </w:rPr>
        <w:t xml:space="preserve"> and </w:t>
      </w:r>
      <w:r w:rsidR="00A04061">
        <w:rPr>
          <w:lang w:val="en-GB"/>
        </w:rPr>
        <w:t>killing</w:t>
      </w:r>
      <w:r w:rsidR="003A5880">
        <w:rPr>
          <w:lang w:val="en-GB"/>
        </w:rPr>
        <w:t xml:space="preserve"> and bring the</w:t>
      </w:r>
      <w:r w:rsidR="00995F95" w:rsidRPr="00A25238">
        <w:rPr>
          <w:lang w:val="en-GB"/>
        </w:rPr>
        <w:t xml:space="preserve"> </w:t>
      </w:r>
      <w:r w:rsidRPr="00A25238">
        <w:rPr>
          <w:lang w:val="en-GB"/>
        </w:rPr>
        <w:t xml:space="preserve">perpetrators to justice. </w:t>
      </w:r>
      <w:r w:rsidR="0069625D" w:rsidRPr="00A5537A">
        <w:t xml:space="preserve">In this sense the Panel considers that the investigation was not adequate and did not comply with the requirements of promptness, expedition and effectiveness (see § </w:t>
      </w:r>
      <w:fldSimple w:instr=" REF _Ref346724174 \r \h  \* MERGEFORMAT ">
        <w:r w:rsidR="00CD172E">
          <w:t>62</w:t>
        </w:r>
      </w:fldSimple>
      <w:r w:rsidR="0069625D" w:rsidRPr="00A5537A">
        <w:t xml:space="preserve"> above), as required by Article 2.</w:t>
      </w:r>
    </w:p>
    <w:p w:rsidR="00B67EAB" w:rsidRPr="003A5880" w:rsidRDefault="00B67EAB" w:rsidP="003A5880">
      <w:pPr>
        <w:tabs>
          <w:tab w:val="left" w:pos="360"/>
        </w:tabs>
        <w:rPr>
          <w:lang w:val="en-GB"/>
        </w:rPr>
      </w:pPr>
    </w:p>
    <w:p w:rsidR="00F3542E" w:rsidRPr="00A25238" w:rsidRDefault="0069625D" w:rsidP="00A840B5">
      <w:pPr>
        <w:numPr>
          <w:ilvl w:val="0"/>
          <w:numId w:val="6"/>
        </w:numPr>
        <w:suppressAutoHyphens/>
        <w:autoSpaceDE w:val="0"/>
        <w:jc w:val="both"/>
        <w:rPr>
          <w:color w:val="000000"/>
          <w:lang w:val="en-GB"/>
        </w:rPr>
      </w:pPr>
      <w:r w:rsidRPr="0069625D">
        <w:t>As concerns the requirement of public scrutiny, the Panel recalls that Article 2 also requires the victim's next-of-kin to be involved in the investigation to the extent necessary to safeguard his or her legitimate interests</w:t>
      </w:r>
      <w:r w:rsidRPr="00B3281D">
        <w:t>.</w:t>
      </w:r>
      <w:r w:rsidR="00B67EAB" w:rsidRPr="00B3281D">
        <w:rPr>
          <w:lang w:val="en-GB"/>
        </w:rPr>
        <w:t xml:space="preserve"> </w:t>
      </w:r>
      <w:r w:rsidR="00B67EAB" w:rsidRPr="00B3281D">
        <w:rPr>
          <w:color w:val="000000"/>
          <w:lang w:val="en-GB"/>
        </w:rPr>
        <w:t>In this regard</w:t>
      </w:r>
      <w:r w:rsidR="00A54F53" w:rsidRPr="00B3281D">
        <w:rPr>
          <w:lang w:val="en-GB"/>
        </w:rPr>
        <w:t xml:space="preserve">, the complainant claims that </w:t>
      </w:r>
      <w:r w:rsidR="00CE49C9" w:rsidRPr="00B3281D">
        <w:rPr>
          <w:lang w:val="en-GB"/>
        </w:rPr>
        <w:t>s</w:t>
      </w:r>
      <w:r w:rsidR="00A54F53" w:rsidRPr="00B3281D">
        <w:rPr>
          <w:lang w:val="en-GB"/>
        </w:rPr>
        <w:t>he was never informed about the steps taken by the investigators.</w:t>
      </w:r>
      <w:r w:rsidR="00B67EAB" w:rsidRPr="00B3281D">
        <w:rPr>
          <w:color w:val="000000"/>
          <w:lang w:val="en-GB"/>
        </w:rPr>
        <w:t xml:space="preserve"> </w:t>
      </w:r>
      <w:r w:rsidR="00F3542E" w:rsidRPr="00B3281D">
        <w:rPr>
          <w:lang w:val="en-GB"/>
        </w:rPr>
        <w:t>The Panel</w:t>
      </w:r>
      <w:r w:rsidR="0021015C" w:rsidRPr="00B3281D">
        <w:rPr>
          <w:lang w:val="en-GB"/>
        </w:rPr>
        <w:t xml:space="preserve"> notes that the complainant</w:t>
      </w:r>
      <w:r w:rsidR="00F3542E" w:rsidRPr="00B3281D">
        <w:rPr>
          <w:lang w:val="en-GB"/>
        </w:rPr>
        <w:t xml:space="preserve"> communicated with </w:t>
      </w:r>
      <w:r w:rsidR="00FA67B0" w:rsidRPr="00B3281D">
        <w:rPr>
          <w:lang w:val="en-GB"/>
        </w:rPr>
        <w:t>UNMIK</w:t>
      </w:r>
      <w:r w:rsidR="0021015C" w:rsidRPr="00B3281D">
        <w:rPr>
          <w:lang w:val="en-GB"/>
        </w:rPr>
        <w:t xml:space="preserve"> </w:t>
      </w:r>
      <w:r w:rsidR="00F3542E" w:rsidRPr="00B3281D">
        <w:rPr>
          <w:lang w:val="en-GB"/>
        </w:rPr>
        <w:t>only with regard to the</w:t>
      </w:r>
      <w:r w:rsidR="00F3542E" w:rsidRPr="00A25238">
        <w:rPr>
          <w:lang w:val="en-GB"/>
        </w:rPr>
        <w:t xml:space="preserve"> recovery, handover and burial of </w:t>
      </w:r>
      <w:r w:rsidR="00FA67B0" w:rsidRPr="00B3281D">
        <w:rPr>
          <w:lang w:val="en-GB"/>
        </w:rPr>
        <w:t>her</w:t>
      </w:r>
      <w:r w:rsidR="00F3542E" w:rsidRPr="00B3281D">
        <w:rPr>
          <w:lang w:val="en-GB"/>
        </w:rPr>
        <w:t xml:space="preserve"> </w:t>
      </w:r>
      <w:r w:rsidR="00FA67B0" w:rsidRPr="00B3281D">
        <w:rPr>
          <w:lang w:val="en-GB"/>
        </w:rPr>
        <w:t>husband’s</w:t>
      </w:r>
      <w:r w:rsidR="00F3542E" w:rsidRPr="00B3281D">
        <w:rPr>
          <w:lang w:val="en-GB"/>
        </w:rPr>
        <w:t xml:space="preserve"> mortal</w:t>
      </w:r>
      <w:r w:rsidR="00F3542E" w:rsidRPr="00A25238">
        <w:rPr>
          <w:lang w:val="en-GB"/>
        </w:rPr>
        <w:t xml:space="preserve"> remains; the last communication</w:t>
      </w:r>
      <w:r w:rsidR="00B67EAB" w:rsidRPr="00A25238">
        <w:rPr>
          <w:lang w:val="en-GB"/>
        </w:rPr>
        <w:t xml:space="preserve"> in this respect</w:t>
      </w:r>
      <w:r w:rsidR="00F3542E" w:rsidRPr="00A25238">
        <w:rPr>
          <w:lang w:val="en-GB"/>
        </w:rPr>
        <w:t xml:space="preserve"> took place </w:t>
      </w:r>
      <w:r w:rsidR="00F3542E" w:rsidRPr="00B3281D">
        <w:rPr>
          <w:lang w:val="en-GB"/>
        </w:rPr>
        <w:t xml:space="preserve">in </w:t>
      </w:r>
      <w:r w:rsidR="00FA67B0" w:rsidRPr="00B3281D">
        <w:rPr>
          <w:lang w:val="en-GB"/>
        </w:rPr>
        <w:t>December</w:t>
      </w:r>
      <w:r w:rsidR="00F3542E" w:rsidRPr="00B3281D">
        <w:rPr>
          <w:lang w:val="en-GB"/>
        </w:rPr>
        <w:t xml:space="preserve"> 200</w:t>
      </w:r>
      <w:r w:rsidR="00FA67B0" w:rsidRPr="00B3281D">
        <w:rPr>
          <w:lang w:val="en-GB"/>
        </w:rPr>
        <w:t>4</w:t>
      </w:r>
      <w:r w:rsidR="00F3542E" w:rsidRPr="00B3281D">
        <w:rPr>
          <w:lang w:val="en-GB"/>
        </w:rPr>
        <w:t>. As the</w:t>
      </w:r>
      <w:r w:rsidR="00F3542E" w:rsidRPr="00A25238">
        <w:rPr>
          <w:lang w:val="en-GB"/>
        </w:rPr>
        <w:t xml:space="preserve"> Panel has already noted, no statement was ever taken from the complainant and no information was given to </w:t>
      </w:r>
      <w:r w:rsidR="00FA67B0">
        <w:rPr>
          <w:lang w:val="en-GB"/>
        </w:rPr>
        <w:t>her</w:t>
      </w:r>
      <w:r w:rsidR="00F3542E" w:rsidRPr="00A25238">
        <w:rPr>
          <w:lang w:val="en-GB"/>
        </w:rPr>
        <w:t xml:space="preserve"> concerning the status of the investigation</w:t>
      </w:r>
      <w:r w:rsidR="004D4694" w:rsidRPr="00A25238">
        <w:rPr>
          <w:lang w:val="en-GB"/>
        </w:rPr>
        <w:t>.</w:t>
      </w:r>
    </w:p>
    <w:p w:rsidR="00A54F53" w:rsidRPr="00A25238" w:rsidRDefault="00A54F53" w:rsidP="00EC64DD">
      <w:pPr>
        <w:pStyle w:val="ListParagraph"/>
        <w:tabs>
          <w:tab w:val="left" w:pos="360"/>
        </w:tabs>
        <w:ind w:left="360" w:hanging="360"/>
        <w:rPr>
          <w:lang w:val="en-GB"/>
        </w:rPr>
      </w:pPr>
    </w:p>
    <w:p w:rsidR="00CE49C9" w:rsidRPr="00CE49C9" w:rsidRDefault="00CE49C9" w:rsidP="00A840B5">
      <w:pPr>
        <w:numPr>
          <w:ilvl w:val="0"/>
          <w:numId w:val="6"/>
        </w:numPr>
        <w:suppressAutoHyphens/>
        <w:autoSpaceDE w:val="0"/>
        <w:jc w:val="both"/>
      </w:pPr>
      <w:r w:rsidRPr="00CE49C9">
        <w:t xml:space="preserve">The Panel understands the complainant’s view that the extent of the information received was unsatisfactory. The Panel is also aware that in all cases, the victim’s next-of-kin must be involved in the procedure to the extent necessary to safeguard his or her legitimate interest (see ECtHR [GC], </w:t>
      </w:r>
      <w:r w:rsidRPr="003A5880">
        <w:rPr>
          <w:i/>
        </w:rPr>
        <w:t>Tahsin Acar v Turkey</w:t>
      </w:r>
      <w:r w:rsidRPr="00CE49C9">
        <w:t xml:space="preserve">, no. 26307/95, judgment of 8 April 2004, § 226, ECHR 2004-III; ECtHR, </w:t>
      </w:r>
      <w:r w:rsidRPr="003A5880">
        <w:rPr>
          <w:i/>
        </w:rPr>
        <w:t>Taniş v Turkey</w:t>
      </w:r>
      <w:r w:rsidRPr="00CE49C9">
        <w:t>, no. 65899/01, judgment of 2 August 2005, § 204, ECHR 2005-VIII). The Panel therefore considers that the investigation was not accessible to the complainant’s family as required by Article 2.</w:t>
      </w:r>
    </w:p>
    <w:p w:rsidR="00B67EAB" w:rsidRPr="00A25238" w:rsidRDefault="00B67EAB" w:rsidP="00EC64DD">
      <w:pPr>
        <w:tabs>
          <w:tab w:val="left" w:pos="360"/>
        </w:tabs>
        <w:suppressAutoHyphens/>
        <w:autoSpaceDE w:val="0"/>
        <w:autoSpaceDN w:val="0"/>
        <w:adjustRightInd w:val="0"/>
        <w:ind w:left="360" w:hanging="360"/>
        <w:contextualSpacing/>
        <w:jc w:val="both"/>
        <w:rPr>
          <w:color w:val="000000"/>
          <w:lang w:val="en-GB"/>
        </w:rPr>
      </w:pPr>
    </w:p>
    <w:p w:rsidR="00B67EAB" w:rsidRPr="00A25238" w:rsidRDefault="00CE49C9" w:rsidP="00A840B5">
      <w:pPr>
        <w:numPr>
          <w:ilvl w:val="0"/>
          <w:numId w:val="6"/>
        </w:numPr>
        <w:autoSpaceDE w:val="0"/>
        <w:contextualSpacing/>
        <w:jc w:val="both"/>
        <w:rPr>
          <w:color w:val="000000"/>
          <w:lang w:val="en-GB"/>
        </w:rPr>
      </w:pPr>
      <w:r w:rsidRPr="00A5537A">
        <w:rPr>
          <w:color w:val="000000"/>
        </w:rPr>
        <w:t xml:space="preserve">In light of the deficiencies and shortcomings as described above, the Panel </w:t>
      </w:r>
      <w:r w:rsidRPr="00A5537A">
        <w:t>concludes</w:t>
      </w:r>
      <w:r w:rsidRPr="00A5537A">
        <w:rPr>
          <w:color w:val="000000"/>
        </w:rPr>
        <w:t xml:space="preserve"> that UNMIK failed to carry out an adequate and effective investigation into the </w:t>
      </w:r>
      <w:r w:rsidRPr="00CE49C9">
        <w:t xml:space="preserve">disappearance and </w:t>
      </w:r>
      <w:r>
        <w:t>killing of the</w:t>
      </w:r>
      <w:r w:rsidRPr="00A5537A">
        <w:rPr>
          <w:color w:val="000000"/>
        </w:rPr>
        <w:t xml:space="preserve"> </w:t>
      </w:r>
      <w:r w:rsidRPr="00A25238">
        <w:rPr>
          <w:color w:val="000000"/>
          <w:lang w:val="en-GB"/>
        </w:rPr>
        <w:t>complainant’s</w:t>
      </w:r>
      <w:r w:rsidR="005E02A7" w:rsidRPr="00A25238">
        <w:rPr>
          <w:color w:val="000000"/>
          <w:lang w:val="en-GB"/>
        </w:rPr>
        <w:t xml:space="preserve"> </w:t>
      </w:r>
      <w:r w:rsidR="00FA67B0">
        <w:rPr>
          <w:color w:val="000000"/>
          <w:lang w:val="en-GB"/>
        </w:rPr>
        <w:t>husband</w:t>
      </w:r>
      <w:r w:rsidR="00B67EAB" w:rsidRPr="00A25238">
        <w:rPr>
          <w:color w:val="000000"/>
          <w:lang w:val="en-GB"/>
        </w:rPr>
        <w:t xml:space="preserve">. </w:t>
      </w:r>
      <w:r w:rsidRPr="00A5537A">
        <w:rPr>
          <w:color w:val="000000"/>
        </w:rPr>
        <w:t>There has been accordingly a violation of Article 2</w:t>
      </w:r>
      <w:r>
        <w:rPr>
          <w:color w:val="000000"/>
        </w:rPr>
        <w:t>,</w:t>
      </w:r>
      <w:r w:rsidRPr="00A5537A">
        <w:rPr>
          <w:color w:val="000000"/>
        </w:rPr>
        <w:t xml:space="preserve"> procedural limb</w:t>
      </w:r>
      <w:r>
        <w:rPr>
          <w:color w:val="000000"/>
        </w:rPr>
        <w:t>, of the ECHR.</w:t>
      </w:r>
    </w:p>
    <w:bookmarkEnd w:id="23"/>
    <w:p w:rsidR="004F19FC" w:rsidRPr="00A25238" w:rsidRDefault="004F19FC" w:rsidP="00EC64DD">
      <w:pPr>
        <w:tabs>
          <w:tab w:val="left" w:pos="360"/>
        </w:tabs>
        <w:autoSpaceDE w:val="0"/>
        <w:ind w:left="360" w:hanging="360"/>
        <w:contextualSpacing/>
        <w:jc w:val="both"/>
        <w:rPr>
          <w:b/>
          <w:i/>
          <w:lang w:val="en-GB"/>
        </w:rPr>
      </w:pPr>
    </w:p>
    <w:p w:rsidR="004D4DDE" w:rsidRPr="00A25238" w:rsidRDefault="004D4DDE" w:rsidP="00EC64DD">
      <w:pPr>
        <w:pStyle w:val="ListParagraph"/>
        <w:numPr>
          <w:ilvl w:val="0"/>
          <w:numId w:val="34"/>
        </w:numPr>
        <w:tabs>
          <w:tab w:val="left" w:pos="360"/>
        </w:tabs>
        <w:autoSpaceDE w:val="0"/>
        <w:ind w:left="360"/>
        <w:contextualSpacing/>
        <w:jc w:val="both"/>
        <w:rPr>
          <w:b/>
          <w:bCs/>
          <w:lang w:val="en-GB"/>
        </w:rPr>
      </w:pPr>
      <w:r w:rsidRPr="00A25238">
        <w:rPr>
          <w:b/>
          <w:bCs/>
          <w:lang w:val="en-GB"/>
        </w:rPr>
        <w:t>Alleged violation of Article 3 of the ECHR</w:t>
      </w:r>
    </w:p>
    <w:p w:rsidR="00F3542E" w:rsidRPr="00A25238" w:rsidRDefault="00F3542E" w:rsidP="00EC64DD">
      <w:pPr>
        <w:tabs>
          <w:tab w:val="left" w:pos="360"/>
        </w:tabs>
        <w:autoSpaceDE w:val="0"/>
        <w:ind w:left="360" w:hanging="360"/>
        <w:contextualSpacing/>
        <w:jc w:val="both"/>
        <w:rPr>
          <w:lang w:val="en-GB"/>
        </w:rPr>
      </w:pPr>
    </w:p>
    <w:p w:rsidR="00E07B93" w:rsidRPr="00CE49C9" w:rsidRDefault="00CE49C9" w:rsidP="00A840B5">
      <w:pPr>
        <w:numPr>
          <w:ilvl w:val="0"/>
          <w:numId w:val="6"/>
        </w:numPr>
        <w:tabs>
          <w:tab w:val="num" w:pos="810"/>
        </w:tabs>
        <w:autoSpaceDE w:val="0"/>
        <w:contextualSpacing/>
        <w:jc w:val="both"/>
      </w:pPr>
      <w:r w:rsidRPr="00A5537A">
        <w:t xml:space="preserve">The complainant states that the lack of information and uncertainty surrounding the </w:t>
      </w:r>
      <w:r w:rsidR="00003EE4" w:rsidRPr="00A25238">
        <w:rPr>
          <w:lang w:val="en-GB"/>
        </w:rPr>
        <w:t xml:space="preserve">disappearance and </w:t>
      </w:r>
      <w:r w:rsidR="00A04061">
        <w:rPr>
          <w:color w:val="000000"/>
          <w:lang w:val="en-GB"/>
        </w:rPr>
        <w:t>killing</w:t>
      </w:r>
      <w:r w:rsidR="00E07B93" w:rsidRPr="00A25238">
        <w:rPr>
          <w:lang w:val="en-GB"/>
        </w:rPr>
        <w:t xml:space="preserve"> of </w:t>
      </w:r>
      <w:r w:rsidR="00FA67B0">
        <w:rPr>
          <w:lang w:val="en-GB"/>
        </w:rPr>
        <w:t>her</w:t>
      </w:r>
      <w:r w:rsidR="00E07B93" w:rsidRPr="00A25238">
        <w:rPr>
          <w:lang w:val="en-GB"/>
        </w:rPr>
        <w:t xml:space="preserve"> </w:t>
      </w:r>
      <w:r w:rsidR="00FA67B0">
        <w:rPr>
          <w:lang w:val="en-GB"/>
        </w:rPr>
        <w:t>husband</w:t>
      </w:r>
      <w:r w:rsidR="00E07B93" w:rsidRPr="00A25238">
        <w:rPr>
          <w:lang w:val="en-GB"/>
        </w:rPr>
        <w:t xml:space="preserve"> </w:t>
      </w:r>
      <w:r w:rsidRPr="00A5537A">
        <w:t xml:space="preserve">caused mental suffering to </w:t>
      </w:r>
      <w:r w:rsidR="00FA67B0">
        <w:rPr>
          <w:lang w:val="en-GB"/>
        </w:rPr>
        <w:t>herself</w:t>
      </w:r>
      <w:r w:rsidR="00E07B93" w:rsidRPr="00A25238">
        <w:rPr>
          <w:lang w:val="en-GB"/>
        </w:rPr>
        <w:t xml:space="preserve"> and </w:t>
      </w:r>
      <w:r w:rsidR="00FA67B0">
        <w:rPr>
          <w:lang w:val="en-GB"/>
        </w:rPr>
        <w:t>her</w:t>
      </w:r>
      <w:r w:rsidR="00E07B93" w:rsidRPr="00A25238">
        <w:rPr>
          <w:lang w:val="en-GB"/>
        </w:rPr>
        <w:t xml:space="preserve"> family. </w:t>
      </w:r>
      <w:r w:rsidRPr="00A86544">
        <w:t>The Panel deems that the complainant may be deemed to invoke a violation of Article 3 of the ECHR prohibiting inhuman and degrading treatment.</w:t>
      </w:r>
      <w:r w:rsidR="00E07B93" w:rsidRPr="00CE49C9">
        <w:rPr>
          <w:lang w:val="en-GB"/>
        </w:rPr>
        <w:t xml:space="preserve"> </w:t>
      </w:r>
    </w:p>
    <w:p w:rsidR="00E07B93" w:rsidRPr="00A25238" w:rsidRDefault="00E07B93" w:rsidP="00EC64DD">
      <w:pPr>
        <w:tabs>
          <w:tab w:val="left" w:pos="360"/>
        </w:tabs>
        <w:suppressAutoHyphens/>
        <w:autoSpaceDE w:val="0"/>
        <w:ind w:left="360" w:hanging="360"/>
        <w:jc w:val="both"/>
        <w:rPr>
          <w:lang w:val="en-GB"/>
        </w:rPr>
      </w:pPr>
    </w:p>
    <w:p w:rsidR="00CE49C9" w:rsidRPr="00B3281D" w:rsidRDefault="00CE49C9" w:rsidP="00A840B5">
      <w:pPr>
        <w:numPr>
          <w:ilvl w:val="0"/>
          <w:numId w:val="6"/>
        </w:numPr>
        <w:suppressAutoHyphens/>
        <w:autoSpaceDE w:val="0"/>
        <w:jc w:val="both"/>
        <w:rPr>
          <w:lang w:val="en-GB"/>
        </w:rPr>
      </w:pPr>
      <w:r w:rsidRPr="00B3281D">
        <w:rPr>
          <w:bCs/>
          <w:lang w:val="en-GB"/>
        </w:rPr>
        <w:t>With respect to Article 3</w:t>
      </w:r>
      <w:r w:rsidR="005B4210" w:rsidRPr="00B3281D">
        <w:rPr>
          <w:bCs/>
          <w:lang w:val="en-GB"/>
        </w:rPr>
        <w:t>,</w:t>
      </w:r>
      <w:r w:rsidRPr="00B3281D">
        <w:rPr>
          <w:bCs/>
          <w:lang w:val="en-GB"/>
        </w:rPr>
        <w:t xml:space="preserve"> the SRSG does not dispute the mental anguis</w:t>
      </w:r>
      <w:r w:rsidR="00136FAA" w:rsidRPr="00B3281D">
        <w:rPr>
          <w:bCs/>
          <w:lang w:val="en-GB"/>
        </w:rPr>
        <w:t>h and suffering of the c</w:t>
      </w:r>
      <w:r w:rsidRPr="00B3281D">
        <w:rPr>
          <w:bCs/>
          <w:lang w:val="en-GB"/>
        </w:rPr>
        <w:t xml:space="preserve">omplainant based on the disappearance of her husband but </w:t>
      </w:r>
      <w:r w:rsidR="005B4210" w:rsidRPr="00B3281D">
        <w:rPr>
          <w:bCs/>
          <w:lang w:val="en-GB"/>
        </w:rPr>
        <w:t xml:space="preserve">he argues </w:t>
      </w:r>
      <w:r w:rsidRPr="00B3281D">
        <w:rPr>
          <w:bCs/>
          <w:lang w:val="en-GB"/>
        </w:rPr>
        <w:t xml:space="preserve">that no evidence exists which suggests that UNMIK acted inappropriately when responding to enquiries </w:t>
      </w:r>
      <w:r w:rsidR="00B3281D" w:rsidRPr="00B3281D">
        <w:rPr>
          <w:bCs/>
          <w:lang w:val="en-GB"/>
        </w:rPr>
        <w:t>by</w:t>
      </w:r>
      <w:r w:rsidRPr="00B3281D">
        <w:rPr>
          <w:bCs/>
          <w:lang w:val="en-GB"/>
        </w:rPr>
        <w:t xml:space="preserve"> the complainant. Such a requirement, he argues, being a necessary element to a finding of a violation of Article 3.</w:t>
      </w:r>
    </w:p>
    <w:p w:rsidR="00CE49C9" w:rsidRPr="00B3281D" w:rsidRDefault="00CE49C9" w:rsidP="00CE49C9">
      <w:pPr>
        <w:suppressAutoHyphens/>
        <w:autoSpaceDE w:val="0"/>
        <w:jc w:val="both"/>
        <w:rPr>
          <w:lang w:val="en-GB"/>
        </w:rPr>
      </w:pPr>
      <w:r w:rsidRPr="00B3281D">
        <w:rPr>
          <w:bCs/>
          <w:lang w:val="en-GB"/>
        </w:rPr>
        <w:t xml:space="preserve">  </w:t>
      </w:r>
    </w:p>
    <w:p w:rsidR="005B4210" w:rsidRDefault="00E07B93" w:rsidP="00A840B5">
      <w:pPr>
        <w:numPr>
          <w:ilvl w:val="0"/>
          <w:numId w:val="6"/>
        </w:numPr>
        <w:tabs>
          <w:tab w:val="num" w:pos="810"/>
        </w:tabs>
        <w:autoSpaceDE w:val="0"/>
        <w:contextualSpacing/>
        <w:jc w:val="both"/>
      </w:pPr>
      <w:r w:rsidRPr="00B3281D">
        <w:rPr>
          <w:lang w:val="en-GB"/>
        </w:rPr>
        <w:t xml:space="preserve">In its decision of </w:t>
      </w:r>
      <w:r w:rsidR="00FA67B0" w:rsidRPr="00B3281D">
        <w:rPr>
          <w:lang w:val="en-GB"/>
        </w:rPr>
        <w:t>13 April 2011</w:t>
      </w:r>
      <w:r w:rsidRPr="00B3281D">
        <w:rPr>
          <w:lang w:val="en-GB"/>
        </w:rPr>
        <w:t xml:space="preserve">, </w:t>
      </w:r>
      <w:r w:rsidR="00CE49C9" w:rsidRPr="00B3281D">
        <w:t>the Panel declared the</w:t>
      </w:r>
      <w:r w:rsidR="00CE49C9" w:rsidRPr="00A86544">
        <w:t xml:space="preserve"> complaint under Article 3 admissible. Nevertheless, the Panel has to reassess the admissibility of this part of the complaint, in light of subsequent developments in the Panel’s case law concerning the admissibility of complaints under Article 3 of the ECHR.</w:t>
      </w:r>
    </w:p>
    <w:p w:rsidR="005B4210" w:rsidRDefault="005B4210" w:rsidP="005B4210">
      <w:pPr>
        <w:pStyle w:val="ListParagraph"/>
      </w:pPr>
    </w:p>
    <w:p w:rsidR="004D4694" w:rsidRDefault="00CE49C9" w:rsidP="00A840B5">
      <w:pPr>
        <w:numPr>
          <w:ilvl w:val="0"/>
          <w:numId w:val="6"/>
        </w:numPr>
        <w:tabs>
          <w:tab w:val="num" w:pos="810"/>
        </w:tabs>
        <w:autoSpaceDE w:val="0"/>
        <w:contextualSpacing/>
        <w:jc w:val="both"/>
      </w:pPr>
      <w:r w:rsidRPr="00A86544">
        <w:t xml:space="preserve">In particular, the Panel notes that according to the case law of the European Court of Human Rights a member of the family of a disappeared person can under certain conditions be considered the victim of treatment by the authorities contrary to Article 3 of the ECHR, which prohibits inhuman treatment. Where the disappeared person is later found dead, the applicability of Article 3 is in principle limited to the distinct period during which the member of the family sustained the uncertainty, anguish and distress appertaining to the specific phenomenon of disappearances (see, </w:t>
      </w:r>
      <w:r w:rsidRPr="005B4210">
        <w:rPr>
          <w:i/>
        </w:rPr>
        <w:t>e.g.</w:t>
      </w:r>
      <w:r w:rsidRPr="00A86544">
        <w:t xml:space="preserve">, ECtHR, </w:t>
      </w:r>
      <w:r w:rsidRPr="005B4210">
        <w:rPr>
          <w:i/>
        </w:rPr>
        <w:t>Luluyev and Others v. Russia</w:t>
      </w:r>
      <w:r w:rsidRPr="00A86544">
        <w:t>, no. 69480/01, judgment of 9 November 2006, §§ 114-115, ECHR 2006-XIII (extracts); E</w:t>
      </w:r>
      <w:permStart w:id="0" w:ed="UNMIK-DPKO\aantonov"/>
      <w:permEnd w:id="0"/>
      <w:r w:rsidRPr="00A86544">
        <w:t xml:space="preserve">CtHR, </w:t>
      </w:r>
      <w:r w:rsidRPr="005B4210">
        <w:rPr>
          <w:i/>
        </w:rPr>
        <w:t>G</w:t>
      </w:r>
      <w:permStart w:id="1" w:ed="UNMIK-DPKO\aantonov"/>
      <w:permEnd w:id="1"/>
      <w:r w:rsidRPr="005B4210">
        <w:rPr>
          <w:i/>
        </w:rPr>
        <w:t>onga</w:t>
      </w:r>
      <w:permStart w:id="2" w:ed="UNMIK-DPKO\aantonov"/>
      <w:permEnd w:id="2"/>
      <w:r w:rsidRPr="005B4210">
        <w:rPr>
          <w:i/>
        </w:rPr>
        <w:t>dze v. Ukraine</w:t>
      </w:r>
      <w:r w:rsidRPr="00A86544">
        <w:t>, no. 34056/02, judgment of 8 November 2005, § 185, ECHR 2005-XI).</w:t>
      </w:r>
    </w:p>
    <w:p w:rsidR="005B4210" w:rsidRPr="005B4210" w:rsidRDefault="005B4210" w:rsidP="005B4210">
      <w:pPr>
        <w:tabs>
          <w:tab w:val="left" w:pos="360"/>
          <w:tab w:val="num" w:pos="450"/>
          <w:tab w:val="num" w:pos="810"/>
        </w:tabs>
        <w:autoSpaceDE w:val="0"/>
        <w:contextualSpacing/>
        <w:jc w:val="both"/>
      </w:pPr>
    </w:p>
    <w:p w:rsidR="004D4694" w:rsidRPr="00B3281D" w:rsidRDefault="004D4694" w:rsidP="00A840B5">
      <w:pPr>
        <w:numPr>
          <w:ilvl w:val="0"/>
          <w:numId w:val="6"/>
        </w:numPr>
        <w:suppressAutoHyphens/>
        <w:autoSpaceDE w:val="0"/>
        <w:jc w:val="both"/>
        <w:rPr>
          <w:lang w:val="en-GB"/>
        </w:rPr>
      </w:pPr>
      <w:r w:rsidRPr="00A25238">
        <w:rPr>
          <w:lang w:val="en-GB"/>
        </w:rPr>
        <w:t xml:space="preserve">In the present case, the relevant period lasted until </w:t>
      </w:r>
      <w:r w:rsidR="00FA67B0" w:rsidRPr="00B3281D">
        <w:rPr>
          <w:lang w:val="en-GB"/>
        </w:rPr>
        <w:t>21 December 2004</w:t>
      </w:r>
      <w:r w:rsidRPr="00B3281D">
        <w:rPr>
          <w:lang w:val="en-GB"/>
        </w:rPr>
        <w:t xml:space="preserve"> when the mortal remains of </w:t>
      </w:r>
      <w:r w:rsidR="00FA67B0" w:rsidRPr="00B3281D">
        <w:rPr>
          <w:lang w:val="en-GB"/>
        </w:rPr>
        <w:t>Zoran Nedeljković</w:t>
      </w:r>
      <w:r w:rsidR="00FA67B0" w:rsidRPr="00B3281D">
        <w:rPr>
          <w:color w:val="000000"/>
          <w:lang w:val="en-GB"/>
        </w:rPr>
        <w:t xml:space="preserve"> </w:t>
      </w:r>
      <w:r w:rsidRPr="00B3281D">
        <w:rPr>
          <w:lang w:val="en-GB"/>
        </w:rPr>
        <w:t xml:space="preserve">were handed over to the complainant. </w:t>
      </w:r>
    </w:p>
    <w:p w:rsidR="008D065C" w:rsidRPr="00A25238" w:rsidRDefault="008D065C" w:rsidP="00EC64DD">
      <w:pPr>
        <w:tabs>
          <w:tab w:val="left" w:pos="360"/>
          <w:tab w:val="num" w:pos="450"/>
        </w:tabs>
        <w:ind w:left="360" w:hanging="360"/>
        <w:rPr>
          <w:lang w:val="en-GB"/>
        </w:rPr>
      </w:pPr>
    </w:p>
    <w:p w:rsidR="008D065C" w:rsidRPr="00A25238" w:rsidRDefault="00CE49C9" w:rsidP="00200A87">
      <w:pPr>
        <w:numPr>
          <w:ilvl w:val="0"/>
          <w:numId w:val="6"/>
        </w:numPr>
        <w:tabs>
          <w:tab w:val="clear" w:pos="360"/>
          <w:tab w:val="num" w:pos="450"/>
          <w:tab w:val="num" w:pos="810"/>
        </w:tabs>
        <w:suppressAutoHyphens/>
        <w:autoSpaceDE w:val="0"/>
        <w:ind w:left="432" w:hanging="432"/>
        <w:jc w:val="both"/>
        <w:rPr>
          <w:lang w:val="en-GB"/>
        </w:rPr>
      </w:pPr>
      <w:r w:rsidRPr="00A86544">
        <w:t>The Panel has already recalled that, according to Section 2 of UNMIK Regulation No. 2006/12, it has jurisdiction only over “complaints relating to alleged violations of human rights that had occurred not earlier than 23 April 2005 or arising from facts which occurred prior to this date where these facts give rise to a continuing violation of human rights”.</w:t>
      </w:r>
      <w:r w:rsidR="008D065C" w:rsidRPr="00A25238">
        <w:rPr>
          <w:lang w:val="en-GB"/>
        </w:rPr>
        <w:t xml:space="preserve"> </w:t>
      </w:r>
    </w:p>
    <w:p w:rsidR="008D065C" w:rsidRPr="00A25238" w:rsidRDefault="008D065C" w:rsidP="00EC64DD">
      <w:pPr>
        <w:pStyle w:val="ListParagraph"/>
        <w:tabs>
          <w:tab w:val="left" w:pos="360"/>
          <w:tab w:val="num" w:pos="450"/>
        </w:tabs>
        <w:ind w:left="360" w:hanging="360"/>
        <w:rPr>
          <w:lang w:val="en-GB"/>
        </w:rPr>
      </w:pPr>
    </w:p>
    <w:p w:rsidR="00CE49C9" w:rsidRPr="00A86544" w:rsidRDefault="00CE49C9" w:rsidP="00200A87">
      <w:pPr>
        <w:numPr>
          <w:ilvl w:val="0"/>
          <w:numId w:val="6"/>
        </w:numPr>
        <w:tabs>
          <w:tab w:val="clear" w:pos="360"/>
          <w:tab w:val="num" w:pos="450"/>
          <w:tab w:val="num" w:pos="810"/>
        </w:tabs>
        <w:suppressAutoHyphens/>
        <w:autoSpaceDE w:val="0"/>
        <w:ind w:left="432" w:hanging="432"/>
        <w:jc w:val="both"/>
      </w:pPr>
      <w:r w:rsidRPr="00A86544">
        <w:t xml:space="preserve">The Panel has no doubts as to the profound suffering caused to the complainant by the </w:t>
      </w:r>
      <w:r w:rsidR="008D065C" w:rsidRPr="00CE49C9">
        <w:rPr>
          <w:lang w:val="en-GB"/>
        </w:rPr>
        <w:t xml:space="preserve">disappearance and </w:t>
      </w:r>
      <w:r w:rsidR="00A04061" w:rsidRPr="00CE49C9">
        <w:rPr>
          <w:lang w:val="en-GB"/>
        </w:rPr>
        <w:t>killing</w:t>
      </w:r>
      <w:r w:rsidR="008D065C" w:rsidRPr="00CE49C9">
        <w:rPr>
          <w:lang w:val="en-GB"/>
        </w:rPr>
        <w:t xml:space="preserve"> of </w:t>
      </w:r>
      <w:r w:rsidR="003A3AD1" w:rsidRPr="00CE49C9">
        <w:rPr>
          <w:lang w:val="en-GB"/>
        </w:rPr>
        <w:t>her</w:t>
      </w:r>
      <w:r w:rsidR="00641824" w:rsidRPr="00CE49C9">
        <w:rPr>
          <w:lang w:val="en-GB"/>
        </w:rPr>
        <w:t xml:space="preserve"> </w:t>
      </w:r>
      <w:r w:rsidR="003A3AD1" w:rsidRPr="00CE49C9">
        <w:rPr>
          <w:lang w:val="en-GB"/>
        </w:rPr>
        <w:t>husband</w:t>
      </w:r>
      <w:r w:rsidR="008D065C" w:rsidRPr="00CE49C9">
        <w:rPr>
          <w:lang w:val="en-GB"/>
        </w:rPr>
        <w:t xml:space="preserve">. </w:t>
      </w:r>
      <w:r w:rsidRPr="00A86544">
        <w:t xml:space="preserve">Nevertheless, the Panel must conclude that this part of the complaint lies outside its jurisdiction </w:t>
      </w:r>
      <w:r w:rsidRPr="00A86544">
        <w:rPr>
          <w:i/>
          <w:iCs/>
        </w:rPr>
        <w:t xml:space="preserve">ratione temporis </w:t>
      </w:r>
      <w:r w:rsidRPr="00A86544">
        <w:rPr>
          <w:iCs/>
        </w:rPr>
        <w:t xml:space="preserve">(see HRAP, </w:t>
      </w:r>
      <w:r w:rsidRPr="00A86544">
        <w:rPr>
          <w:i/>
          <w:iCs/>
        </w:rPr>
        <w:t>Patrnogić,</w:t>
      </w:r>
      <w:r w:rsidRPr="00A86544">
        <w:rPr>
          <w:iCs/>
        </w:rPr>
        <w:t xml:space="preserve"> no. 252/09, decision of 16 December 2011, §§ 16-20; HRAP, </w:t>
      </w:r>
      <w:r w:rsidRPr="00A86544">
        <w:rPr>
          <w:i/>
          <w:iCs/>
        </w:rPr>
        <w:t>S.C.</w:t>
      </w:r>
      <w:r w:rsidRPr="00A86544">
        <w:rPr>
          <w:iCs/>
        </w:rPr>
        <w:t>, no. 02/09, opinion of 8 January 2012, §§ 103-109) and for this reason shall be declared inadmissible</w:t>
      </w:r>
      <w:r w:rsidRPr="00A86544">
        <w:t>.</w:t>
      </w:r>
    </w:p>
    <w:p w:rsidR="00074F08" w:rsidRPr="00CE49C9" w:rsidRDefault="00074F08" w:rsidP="00CE49C9">
      <w:pPr>
        <w:tabs>
          <w:tab w:val="left" w:pos="360"/>
        </w:tabs>
        <w:suppressAutoHyphens/>
        <w:autoSpaceDE w:val="0"/>
        <w:autoSpaceDN w:val="0"/>
        <w:adjustRightInd w:val="0"/>
        <w:jc w:val="both"/>
        <w:rPr>
          <w:bCs/>
          <w:lang w:val="en-GB"/>
        </w:rPr>
      </w:pPr>
    </w:p>
    <w:p w:rsidR="009A1A66" w:rsidRPr="00A25238" w:rsidRDefault="009A1A66" w:rsidP="00EC64DD">
      <w:pPr>
        <w:tabs>
          <w:tab w:val="left" w:pos="360"/>
        </w:tabs>
        <w:autoSpaceDE w:val="0"/>
        <w:autoSpaceDN w:val="0"/>
        <w:adjustRightInd w:val="0"/>
        <w:ind w:left="360" w:hanging="360"/>
        <w:jc w:val="both"/>
        <w:rPr>
          <w:bCs/>
          <w:lang w:val="en-GB"/>
        </w:rPr>
      </w:pPr>
    </w:p>
    <w:p w:rsidR="00BE6FAD" w:rsidRPr="00A25238" w:rsidRDefault="00BE6FAD" w:rsidP="00EC64DD">
      <w:pPr>
        <w:tabs>
          <w:tab w:val="left" w:pos="360"/>
        </w:tabs>
        <w:ind w:left="360" w:hanging="360"/>
        <w:rPr>
          <w:b/>
          <w:lang w:val="en-GB"/>
        </w:rPr>
      </w:pPr>
      <w:r w:rsidRPr="00A25238">
        <w:rPr>
          <w:b/>
          <w:lang w:val="en-GB"/>
        </w:rPr>
        <w:t>V.</w:t>
      </w:r>
      <w:r w:rsidR="00200A87">
        <w:rPr>
          <w:b/>
          <w:lang w:val="en-GB"/>
        </w:rPr>
        <w:tab/>
      </w:r>
      <w:r w:rsidRPr="00A25238">
        <w:rPr>
          <w:b/>
          <w:lang w:val="en-GB"/>
        </w:rPr>
        <w:t xml:space="preserve"> CONCLUDING COMMENTS AND RECOMMENDATIONS</w:t>
      </w:r>
    </w:p>
    <w:p w:rsidR="00BE6FAD" w:rsidRPr="00A25238" w:rsidRDefault="00BE6FAD" w:rsidP="00EC64DD">
      <w:pPr>
        <w:pStyle w:val="ListParagraph"/>
        <w:tabs>
          <w:tab w:val="left" w:pos="360"/>
        </w:tabs>
        <w:ind w:left="360" w:hanging="360"/>
        <w:rPr>
          <w:lang w:val="en-GB"/>
        </w:rPr>
      </w:pPr>
    </w:p>
    <w:p w:rsidR="00BE6FAD" w:rsidRPr="00A25238" w:rsidRDefault="003C02A6" w:rsidP="00200A87">
      <w:pPr>
        <w:numPr>
          <w:ilvl w:val="0"/>
          <w:numId w:val="6"/>
        </w:numPr>
        <w:tabs>
          <w:tab w:val="clear" w:pos="360"/>
          <w:tab w:val="num" w:pos="450"/>
          <w:tab w:val="num" w:pos="810"/>
        </w:tabs>
        <w:suppressAutoHyphens/>
        <w:autoSpaceDE w:val="0"/>
        <w:ind w:left="432" w:hanging="432"/>
        <w:jc w:val="both"/>
        <w:rPr>
          <w:b/>
          <w:bCs/>
          <w:lang w:val="en-GB"/>
        </w:rPr>
      </w:pPr>
      <w:r w:rsidRPr="00A5537A">
        <w:t xml:space="preserve">In </w:t>
      </w:r>
      <w:r w:rsidRPr="00A5537A">
        <w:rPr>
          <w:lang w:val="en-GB"/>
        </w:rPr>
        <w:t>light</w:t>
      </w:r>
      <w:r w:rsidRPr="00A5537A">
        <w:t xml:space="preserve"> of the Panel’s findings in this case, the Panel is of the opinion that some form of </w:t>
      </w:r>
      <w:r w:rsidRPr="00A5537A">
        <w:rPr>
          <w:bCs/>
        </w:rPr>
        <w:t>reparation</w:t>
      </w:r>
      <w:r w:rsidRPr="00A5537A">
        <w:t xml:space="preserve"> is necessary.</w:t>
      </w:r>
    </w:p>
    <w:p w:rsidR="00BE6FAD" w:rsidRPr="00A25238" w:rsidRDefault="00BE6FAD" w:rsidP="00EC64DD">
      <w:pPr>
        <w:pStyle w:val="ListParagraph"/>
        <w:tabs>
          <w:tab w:val="left" w:pos="360"/>
        </w:tabs>
        <w:ind w:left="360" w:hanging="360"/>
        <w:rPr>
          <w:lang w:val="en-GB"/>
        </w:rPr>
      </w:pPr>
    </w:p>
    <w:p w:rsidR="008D2DB9" w:rsidRDefault="003C02A6" w:rsidP="00200A87">
      <w:pPr>
        <w:numPr>
          <w:ilvl w:val="0"/>
          <w:numId w:val="6"/>
        </w:numPr>
        <w:tabs>
          <w:tab w:val="clear" w:pos="360"/>
          <w:tab w:val="num" w:pos="450"/>
          <w:tab w:val="num" w:pos="810"/>
        </w:tabs>
        <w:suppressAutoHyphens/>
        <w:autoSpaceDE w:val="0"/>
        <w:ind w:left="432" w:hanging="432"/>
        <w:jc w:val="both"/>
        <w:rPr>
          <w:b/>
          <w:bCs/>
        </w:rPr>
      </w:pPr>
      <w:r w:rsidRPr="00A5537A">
        <w:t>The Panel notes that enforced disappearances and arbitrary killings constitute serious violations of human rights which the competent authorities are under an obligation to investigate and to bring perpetrators to justice under all circumstances. The Panel also notes that pursuant to United Nations Security Council Resolution 1244 (1999) UNMIK from 1999 to 2008 had the primary responsibility to effectively investigate and prosecute the</w:t>
      </w:r>
      <w:r w:rsidR="00BE6FAD" w:rsidRPr="00A25238">
        <w:rPr>
          <w:lang w:val="en-GB"/>
        </w:rPr>
        <w:t xml:space="preserve"> disappearance and </w:t>
      </w:r>
      <w:r w:rsidR="00A04061">
        <w:rPr>
          <w:lang w:val="en-GB"/>
        </w:rPr>
        <w:t>killing</w:t>
      </w:r>
      <w:r w:rsidR="00BE6FAD" w:rsidRPr="00A25238">
        <w:rPr>
          <w:lang w:val="en-GB"/>
        </w:rPr>
        <w:t xml:space="preserve"> of </w:t>
      </w:r>
      <w:r w:rsidR="00D54CF6">
        <w:rPr>
          <w:lang w:val="en-GB"/>
        </w:rPr>
        <w:t>Zoran Nedeljković</w:t>
      </w:r>
      <w:r w:rsidR="00BE6FAD" w:rsidRPr="00A25238">
        <w:rPr>
          <w:lang w:val="en-GB"/>
        </w:rPr>
        <w:t xml:space="preserve">, </w:t>
      </w:r>
      <w:r w:rsidRPr="00A5537A">
        <w:t xml:space="preserve">and that its failure to do so </w:t>
      </w:r>
      <w:r w:rsidRPr="00A5537A">
        <w:rPr>
          <w:bCs/>
        </w:rPr>
        <w:t>constitutes</w:t>
      </w:r>
      <w:r w:rsidRPr="00A5537A">
        <w:t xml:space="preserve"> a further serious violation of the human rights of the victim and his next-of-kin, in particular the right to have the truth of the matter determined.</w:t>
      </w:r>
    </w:p>
    <w:p w:rsidR="008D2DB9" w:rsidRDefault="008D2DB9" w:rsidP="008D2DB9">
      <w:pPr>
        <w:pStyle w:val="ListParagraph"/>
        <w:rPr>
          <w:bCs/>
        </w:rPr>
      </w:pPr>
    </w:p>
    <w:p w:rsidR="008D2DB9" w:rsidRDefault="00D54CF6" w:rsidP="00D54CF6">
      <w:pPr>
        <w:numPr>
          <w:ilvl w:val="0"/>
          <w:numId w:val="6"/>
        </w:numPr>
        <w:tabs>
          <w:tab w:val="num" w:pos="426"/>
        </w:tabs>
        <w:suppressAutoHyphens/>
        <w:autoSpaceDE w:val="0"/>
        <w:ind w:left="432" w:hanging="432"/>
        <w:jc w:val="both"/>
        <w:rPr>
          <w:b/>
          <w:bCs/>
        </w:rPr>
      </w:pPr>
      <w:r>
        <w:rPr>
          <w:bCs/>
        </w:rPr>
        <w:t xml:space="preserve"> </w:t>
      </w:r>
      <w:r w:rsidR="003C02A6" w:rsidRPr="008D2DB9">
        <w:rPr>
          <w:bCs/>
        </w:rPr>
        <w:t xml:space="preserve">The Panel notes the SRSG’s own concerns that the inadequate resources, </w:t>
      </w:r>
      <w:r w:rsidR="008D2DB9" w:rsidRPr="008D2DB9">
        <w:rPr>
          <w:bCs/>
        </w:rPr>
        <w:t xml:space="preserve">  </w:t>
      </w:r>
      <w:r w:rsidR="003C02A6" w:rsidRPr="008D2DB9">
        <w:rPr>
          <w:bCs/>
        </w:rPr>
        <w:t>especially at the outset of UNMIK’s mission, made compliance with UNMIK’s human rights obligations difficult to achieve.</w:t>
      </w:r>
    </w:p>
    <w:p w:rsidR="008D2DB9" w:rsidRDefault="008D2DB9" w:rsidP="008D2DB9">
      <w:pPr>
        <w:pStyle w:val="ListParagraph"/>
      </w:pPr>
    </w:p>
    <w:p w:rsidR="00BE6FAD" w:rsidRPr="008D2DB9" w:rsidRDefault="00D54CF6" w:rsidP="00D54CF6">
      <w:pPr>
        <w:numPr>
          <w:ilvl w:val="0"/>
          <w:numId w:val="6"/>
        </w:numPr>
        <w:suppressAutoHyphens/>
        <w:autoSpaceDE w:val="0"/>
        <w:ind w:left="432" w:hanging="432"/>
        <w:jc w:val="both"/>
        <w:rPr>
          <w:b/>
          <w:bCs/>
        </w:rPr>
      </w:pPr>
      <w:r>
        <w:t xml:space="preserve"> </w:t>
      </w:r>
      <w:r w:rsidR="003C02A6" w:rsidRPr="00A5537A">
        <w:t xml:space="preserve">It would normally be for UNMIK to take the appropriate measures in order to put an end to the </w:t>
      </w:r>
      <w:r w:rsidR="003C02A6" w:rsidRPr="008D2DB9">
        <w:rPr>
          <w:bCs/>
        </w:rPr>
        <w:t>violation</w:t>
      </w:r>
      <w:r w:rsidR="003C02A6" w:rsidRPr="00A5537A">
        <w:t xml:space="preserve"> noted and to redress as far as possible the effects thereof. However, as the Panel noted above (see § </w:t>
      </w:r>
      <w:fldSimple w:instr=" REF _Ref346123927 \r \h  \* MERGEFORMAT ">
        <w:r w:rsidR="00CD172E">
          <w:t>16</w:t>
        </w:r>
      </w:fldSimple>
      <w:r w:rsidR="003C02A6" w:rsidRPr="00A5537A">
        <w:t xml:space="preserve">) UNMIK’s  responsibility with regard to </w:t>
      </w:r>
      <w:r w:rsidR="003C02A6" w:rsidRPr="008D2DB9">
        <w:rPr>
          <w:bCs/>
        </w:rPr>
        <w:t>the</w:t>
      </w:r>
      <w:r w:rsidR="003C02A6" w:rsidRPr="00A5537A">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w:t>
      </w:r>
      <w:r w:rsidR="003C02A6">
        <w:t>nternational human rights law.</w:t>
      </w:r>
      <w:r w:rsidR="00BE6FAD" w:rsidRPr="008D2DB9">
        <w:rPr>
          <w:lang w:val="en-GB"/>
        </w:rPr>
        <w:t xml:space="preserve">  </w:t>
      </w:r>
    </w:p>
    <w:p w:rsidR="00BE6FAD" w:rsidRDefault="00BE6FAD" w:rsidP="00EC64DD">
      <w:pPr>
        <w:pStyle w:val="ListParagraph"/>
        <w:tabs>
          <w:tab w:val="left" w:pos="360"/>
        </w:tabs>
        <w:ind w:left="360" w:hanging="360"/>
        <w:rPr>
          <w:lang w:val="en-GB"/>
        </w:rPr>
      </w:pPr>
    </w:p>
    <w:p w:rsidR="00200A87" w:rsidRDefault="00200A87" w:rsidP="00EC64DD">
      <w:pPr>
        <w:pStyle w:val="ListParagraph"/>
        <w:tabs>
          <w:tab w:val="left" w:pos="360"/>
        </w:tabs>
        <w:ind w:left="360" w:hanging="360"/>
        <w:rPr>
          <w:lang w:val="en-GB"/>
        </w:rPr>
      </w:pPr>
    </w:p>
    <w:p w:rsidR="00200A87" w:rsidRPr="00A25238" w:rsidRDefault="00200A87" w:rsidP="00EC64DD">
      <w:pPr>
        <w:pStyle w:val="ListParagraph"/>
        <w:tabs>
          <w:tab w:val="left" w:pos="360"/>
        </w:tabs>
        <w:ind w:left="360" w:hanging="360"/>
        <w:rPr>
          <w:lang w:val="en-GB"/>
        </w:rPr>
      </w:pPr>
    </w:p>
    <w:p w:rsidR="00BE6FAD" w:rsidRDefault="003C02A6" w:rsidP="00BE6FAD">
      <w:pPr>
        <w:suppressAutoHyphens/>
        <w:autoSpaceDE w:val="0"/>
        <w:ind w:left="450"/>
        <w:jc w:val="both"/>
      </w:pPr>
      <w:r w:rsidRPr="00A5537A">
        <w:t xml:space="preserve">The Panel considers that this factual situation does not relieve UNMIK from its </w:t>
      </w:r>
      <w:r w:rsidRPr="00A5537A">
        <w:rPr>
          <w:bCs/>
        </w:rPr>
        <w:t>obligation</w:t>
      </w:r>
      <w:r w:rsidRPr="00A5537A">
        <w:t xml:space="preserve"> to </w:t>
      </w:r>
      <w:r w:rsidRPr="00A5537A">
        <w:rPr>
          <w:bCs/>
        </w:rPr>
        <w:t>redress</w:t>
      </w:r>
      <w:r w:rsidRPr="00A5537A">
        <w:t xml:space="preserve"> as far as possible the effects of the violations for which it is responsible.</w:t>
      </w:r>
    </w:p>
    <w:p w:rsidR="003C02A6" w:rsidRPr="00A25238" w:rsidRDefault="003C02A6" w:rsidP="003C02A6">
      <w:pPr>
        <w:suppressAutoHyphens/>
        <w:autoSpaceDE w:val="0"/>
        <w:jc w:val="both"/>
        <w:rPr>
          <w:b/>
          <w:bCs/>
          <w:lang w:val="en-GB"/>
        </w:rPr>
      </w:pPr>
    </w:p>
    <w:p w:rsidR="00BE6FAD" w:rsidRPr="00A25238" w:rsidRDefault="00C42B65" w:rsidP="00BE6FAD">
      <w:pPr>
        <w:suppressAutoHyphens/>
        <w:autoSpaceDE w:val="0"/>
        <w:ind w:left="450"/>
        <w:jc w:val="both"/>
        <w:rPr>
          <w:b/>
          <w:bCs/>
          <w:lang w:val="en-GB"/>
        </w:rPr>
      </w:pPr>
      <w:r w:rsidRPr="00A25238">
        <w:rPr>
          <w:b/>
          <w:bCs/>
          <w:lang w:val="en-GB"/>
        </w:rPr>
        <w:t>With respect to the complainant</w:t>
      </w:r>
      <w:r w:rsidR="00BE6FAD" w:rsidRPr="00A25238">
        <w:rPr>
          <w:b/>
          <w:bCs/>
          <w:lang w:val="en-GB"/>
        </w:rPr>
        <w:t xml:space="preserve"> and the case the Panel considers </w:t>
      </w:r>
      <w:r w:rsidR="00641824" w:rsidRPr="00A25238">
        <w:rPr>
          <w:b/>
          <w:bCs/>
          <w:lang w:val="en-GB"/>
        </w:rPr>
        <w:t xml:space="preserve">it </w:t>
      </w:r>
      <w:r w:rsidR="00BE6FAD" w:rsidRPr="00A25238">
        <w:rPr>
          <w:b/>
          <w:bCs/>
          <w:lang w:val="en-GB"/>
        </w:rPr>
        <w:t>appropriate that UNMIK:</w:t>
      </w:r>
    </w:p>
    <w:p w:rsidR="00BE6FAD" w:rsidRPr="00A25238" w:rsidRDefault="00BE6FAD" w:rsidP="00BE6FAD">
      <w:pPr>
        <w:pStyle w:val="ListParagraph"/>
        <w:rPr>
          <w:b/>
          <w:bCs/>
          <w:lang w:val="en-GB"/>
        </w:rPr>
      </w:pPr>
    </w:p>
    <w:p w:rsidR="00BE6FAD" w:rsidRPr="00B3281D" w:rsidRDefault="003C02A6" w:rsidP="003C02A6">
      <w:pPr>
        <w:pStyle w:val="ListParagraph"/>
        <w:numPr>
          <w:ilvl w:val="2"/>
          <w:numId w:val="38"/>
        </w:numPr>
        <w:autoSpaceDE w:val="0"/>
        <w:ind w:left="720" w:hanging="270"/>
        <w:contextualSpacing/>
        <w:jc w:val="both"/>
        <w:rPr>
          <w:b/>
          <w:bCs/>
        </w:rPr>
      </w:pPr>
      <w:r w:rsidRPr="00A5537A">
        <w:t xml:space="preserve">In line with the case law of the European Court of Human Rights on situations of limited State jurisdiction (see ECtHR [GC], </w:t>
      </w:r>
      <w:r w:rsidRPr="00A5537A">
        <w:rPr>
          <w:i/>
        </w:rPr>
        <w:t>Ilaşcu and Others v. Moldova and Russia</w:t>
      </w:r>
      <w:r w:rsidRPr="00A5537A">
        <w:t xml:space="preserve">, no. 48787/99, judgment of 8 July 2004, § 333, ECHR 2004-VII; ECtHR, </w:t>
      </w:r>
      <w:r w:rsidRPr="00A5537A">
        <w:rPr>
          <w:i/>
        </w:rPr>
        <w:t>Al-Saadoon and Mufdhi v. the United Kingdom</w:t>
      </w:r>
      <w:r w:rsidRPr="00A5537A">
        <w:t xml:space="preserve">, no. 61498/08, judgment of 2 March 2010, § 171, ECHR 2010 (extracts); ECtHR [GC], </w:t>
      </w:r>
      <w:r w:rsidRPr="00A5537A">
        <w:rPr>
          <w:i/>
        </w:rPr>
        <w:t xml:space="preserve">Catan and Others v. Republic of Moldova and Russia </w:t>
      </w:r>
      <w:r w:rsidRPr="00A5537A">
        <w:t xml:space="preserve">[GC], nos. 43370/04 and others, judgment of 19 October 2012, § 109), must endeavour, with all the diplomatic means available to it </w:t>
      </w:r>
      <w:r w:rsidRPr="00A5537A">
        <w:rPr>
          <w:i/>
        </w:rPr>
        <w:t>vis-à-vis</w:t>
      </w:r>
      <w:r w:rsidRPr="00A5537A">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BE6FAD" w:rsidRPr="00A25238">
        <w:rPr>
          <w:lang w:val="en-GB"/>
        </w:rPr>
        <w:t xml:space="preserve">disappearance and </w:t>
      </w:r>
      <w:r w:rsidR="00A04061">
        <w:rPr>
          <w:lang w:val="en-GB"/>
        </w:rPr>
        <w:t>killing</w:t>
      </w:r>
      <w:r w:rsidR="00BE6FAD" w:rsidRPr="00A25238">
        <w:rPr>
          <w:lang w:val="en-GB"/>
        </w:rPr>
        <w:t xml:space="preserve"> </w:t>
      </w:r>
      <w:r w:rsidR="00BE6FAD" w:rsidRPr="00B3281D">
        <w:rPr>
          <w:lang w:val="en-GB"/>
        </w:rPr>
        <w:t xml:space="preserve">of </w:t>
      </w:r>
      <w:r w:rsidR="00203A80" w:rsidRPr="00B3281D">
        <w:rPr>
          <w:lang w:val="en-GB"/>
        </w:rPr>
        <w:t>Zoran Nedeljković</w:t>
      </w:r>
      <w:r w:rsidR="00BE6FAD" w:rsidRPr="00B3281D">
        <w:rPr>
          <w:lang w:val="en-GB"/>
        </w:rPr>
        <w:t xml:space="preserve"> </w:t>
      </w:r>
      <w:r w:rsidRPr="00B3281D">
        <w:t>will be established and that perpetrators will be brought to justice; the complainant and/or other next-of-kin shall be informed of such proceedings and relevant documents shall be disclosed to them, as necessary;</w:t>
      </w:r>
    </w:p>
    <w:p w:rsidR="00BE6FAD" w:rsidRPr="00B3281D" w:rsidRDefault="00BE6FAD" w:rsidP="00BE6FAD">
      <w:pPr>
        <w:suppressAutoHyphens/>
        <w:autoSpaceDE w:val="0"/>
        <w:jc w:val="both"/>
        <w:rPr>
          <w:b/>
          <w:bCs/>
          <w:lang w:val="en-GB"/>
        </w:rPr>
      </w:pPr>
    </w:p>
    <w:p w:rsidR="00BE6FAD" w:rsidRPr="00B3281D" w:rsidRDefault="003C02A6" w:rsidP="00EC64DD">
      <w:pPr>
        <w:pStyle w:val="ListParagraph"/>
        <w:numPr>
          <w:ilvl w:val="2"/>
          <w:numId w:val="38"/>
        </w:numPr>
        <w:autoSpaceDE w:val="0"/>
        <w:ind w:left="720" w:hanging="270"/>
        <w:contextualSpacing/>
        <w:jc w:val="both"/>
        <w:rPr>
          <w:bCs/>
          <w:lang w:val="en-GB"/>
        </w:rPr>
      </w:pPr>
      <w:r w:rsidRPr="00B3281D">
        <w:rPr>
          <w:bCs/>
        </w:rPr>
        <w:t xml:space="preserve">Publicly acknowledges, within a reasonable time, responsibility with respect to UNMIK’s </w:t>
      </w:r>
      <w:r w:rsidRPr="00B3281D">
        <w:t>failure</w:t>
      </w:r>
      <w:r w:rsidRPr="00B3281D">
        <w:rPr>
          <w:bCs/>
        </w:rPr>
        <w:t xml:space="preserve"> to adequately investigate the</w:t>
      </w:r>
      <w:r w:rsidRPr="00B3281D">
        <w:rPr>
          <w:bCs/>
          <w:lang w:val="en-GB"/>
        </w:rPr>
        <w:t xml:space="preserve"> </w:t>
      </w:r>
      <w:r w:rsidR="00BE6FAD" w:rsidRPr="00B3281D">
        <w:rPr>
          <w:bCs/>
          <w:lang w:val="en-GB"/>
        </w:rPr>
        <w:t xml:space="preserve">disappearance and </w:t>
      </w:r>
      <w:r w:rsidR="00A04061" w:rsidRPr="00B3281D">
        <w:rPr>
          <w:bCs/>
          <w:lang w:val="en-GB"/>
        </w:rPr>
        <w:t>killing</w:t>
      </w:r>
      <w:r w:rsidR="00BE6FAD" w:rsidRPr="00B3281D">
        <w:rPr>
          <w:bCs/>
          <w:lang w:val="en-GB"/>
        </w:rPr>
        <w:t xml:space="preserve"> of </w:t>
      </w:r>
      <w:r w:rsidR="00203A80" w:rsidRPr="00B3281D">
        <w:rPr>
          <w:lang w:val="en-GB"/>
        </w:rPr>
        <w:t>Zoran Nedeljković</w:t>
      </w:r>
      <w:r w:rsidR="00203A80" w:rsidRPr="00B3281D">
        <w:rPr>
          <w:color w:val="000000"/>
          <w:lang w:val="en-GB"/>
        </w:rPr>
        <w:t xml:space="preserve"> </w:t>
      </w:r>
      <w:r w:rsidRPr="00B3281D">
        <w:rPr>
          <w:bCs/>
        </w:rPr>
        <w:t>and makes a public apology to the complainant and her family in this regard;</w:t>
      </w:r>
    </w:p>
    <w:p w:rsidR="00BE6FAD" w:rsidRPr="00A25238" w:rsidRDefault="00BE6FAD" w:rsidP="00BE6FAD">
      <w:pPr>
        <w:suppressAutoHyphens/>
        <w:autoSpaceDE w:val="0"/>
        <w:jc w:val="both"/>
        <w:rPr>
          <w:bCs/>
          <w:lang w:val="en-GB"/>
        </w:rPr>
      </w:pPr>
    </w:p>
    <w:p w:rsidR="00BE6FAD" w:rsidRPr="00A25238" w:rsidRDefault="003C02A6" w:rsidP="00EC64DD">
      <w:pPr>
        <w:pStyle w:val="ListParagraph"/>
        <w:numPr>
          <w:ilvl w:val="2"/>
          <w:numId w:val="38"/>
        </w:numPr>
        <w:autoSpaceDE w:val="0"/>
        <w:ind w:left="720" w:hanging="270"/>
        <w:contextualSpacing/>
        <w:jc w:val="both"/>
        <w:rPr>
          <w:bCs/>
          <w:lang w:val="en-GB"/>
        </w:rPr>
      </w:pPr>
      <w:r w:rsidRPr="00A5537A">
        <w:rPr>
          <w:bCs/>
        </w:rPr>
        <w:t>Takes appropriate steps towards payment of adequate compensation of the complainant for the mo</w:t>
      </w:r>
      <w:r w:rsidRPr="00A5537A">
        <w:t>r</w:t>
      </w:r>
      <w:r w:rsidRPr="00A5537A">
        <w:rPr>
          <w:bCs/>
        </w:rPr>
        <w:t>al damage suffered due to UNMIK’s failure to conduct an effective investigation as stated above.</w:t>
      </w:r>
    </w:p>
    <w:p w:rsidR="00BE6FAD" w:rsidRPr="00A25238" w:rsidRDefault="00BE6FAD" w:rsidP="00BE6FAD">
      <w:pPr>
        <w:pStyle w:val="ListParagraph"/>
        <w:ind w:left="450"/>
        <w:rPr>
          <w:b/>
          <w:bCs/>
          <w:lang w:val="en-GB"/>
        </w:rPr>
      </w:pPr>
    </w:p>
    <w:p w:rsidR="00BE6FAD" w:rsidRPr="00A25238" w:rsidRDefault="00BE6FAD" w:rsidP="00BE6FAD">
      <w:pPr>
        <w:suppressAutoHyphens/>
        <w:autoSpaceDE w:val="0"/>
        <w:ind w:left="450"/>
        <w:jc w:val="both"/>
        <w:rPr>
          <w:b/>
          <w:bCs/>
          <w:lang w:val="en-GB"/>
        </w:rPr>
      </w:pPr>
      <w:r w:rsidRPr="00A25238">
        <w:rPr>
          <w:b/>
          <w:bCs/>
          <w:lang w:val="en-GB"/>
        </w:rPr>
        <w:t xml:space="preserve">The Panel also considers </w:t>
      </w:r>
      <w:r w:rsidR="00641824" w:rsidRPr="00A25238">
        <w:rPr>
          <w:b/>
          <w:bCs/>
          <w:lang w:val="en-GB"/>
        </w:rPr>
        <w:t xml:space="preserve">it </w:t>
      </w:r>
      <w:r w:rsidRPr="00A25238">
        <w:rPr>
          <w:b/>
          <w:bCs/>
          <w:lang w:val="en-GB"/>
        </w:rPr>
        <w:t>appropriate that UNMIK:</w:t>
      </w:r>
    </w:p>
    <w:p w:rsidR="00BE6FAD" w:rsidRPr="00A25238" w:rsidRDefault="00BE6FAD" w:rsidP="00BE6FAD">
      <w:pPr>
        <w:rPr>
          <w:lang w:val="en-GB"/>
        </w:rPr>
      </w:pPr>
    </w:p>
    <w:p w:rsidR="00BE6FAD" w:rsidRPr="00A25238" w:rsidRDefault="003C02A6" w:rsidP="00EC64DD">
      <w:pPr>
        <w:pStyle w:val="ListParagraph"/>
        <w:numPr>
          <w:ilvl w:val="2"/>
          <w:numId w:val="38"/>
        </w:numPr>
        <w:autoSpaceDE w:val="0"/>
        <w:ind w:left="720" w:hanging="270"/>
        <w:contextualSpacing/>
        <w:jc w:val="both"/>
        <w:rPr>
          <w:lang w:val="en-GB"/>
        </w:rPr>
      </w:pPr>
      <w:r w:rsidRPr="00A5537A">
        <w:t xml:space="preserve">In line with the UN General Assembly Resolution on “Basic Principles and Guidelines on the Right to a Remedy and Reparation for Victims of Gross Violations of </w:t>
      </w:r>
      <w:r w:rsidRPr="00A5537A">
        <w:rPr>
          <w:bCs/>
        </w:rPr>
        <w:t>International</w:t>
      </w:r>
      <w:r w:rsidRPr="00A5537A">
        <w:t xml:space="preserve">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E6FAD" w:rsidRPr="00A25238" w:rsidRDefault="00BE6FAD" w:rsidP="00BE6FAD">
      <w:pPr>
        <w:pStyle w:val="ListParagraph"/>
        <w:ind w:left="270"/>
        <w:jc w:val="both"/>
        <w:rPr>
          <w:lang w:val="en-GB"/>
        </w:rPr>
      </w:pPr>
    </w:p>
    <w:p w:rsidR="003C02A6" w:rsidRPr="00A5537A" w:rsidRDefault="003C02A6" w:rsidP="003C02A6">
      <w:pPr>
        <w:pStyle w:val="ListParagraph"/>
        <w:numPr>
          <w:ilvl w:val="2"/>
          <w:numId w:val="38"/>
        </w:numPr>
        <w:autoSpaceDE w:val="0"/>
        <w:ind w:left="720" w:hanging="270"/>
        <w:contextualSpacing/>
        <w:jc w:val="both"/>
      </w:pPr>
      <w:r w:rsidRPr="00A5537A">
        <w:t xml:space="preserve">Takes appropriate steps before competent bodies of the United Nations, including the UN </w:t>
      </w:r>
      <w:r w:rsidRPr="00A5537A">
        <w:rPr>
          <w:bCs/>
        </w:rPr>
        <w:t>Secretary</w:t>
      </w:r>
      <w:r w:rsidRPr="00A5537A">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E6FAD" w:rsidRPr="00A25238" w:rsidRDefault="00BE6FAD" w:rsidP="00BE6FAD">
      <w:pPr>
        <w:rPr>
          <w:lang w:val="en-GB"/>
        </w:rPr>
      </w:pPr>
    </w:p>
    <w:p w:rsidR="00EB28BF" w:rsidRDefault="00EB28BF" w:rsidP="00BE6FAD">
      <w:pPr>
        <w:pStyle w:val="Normal1"/>
        <w:spacing w:before="0" w:beforeAutospacing="0" w:after="0" w:afterAutospacing="0"/>
        <w:jc w:val="both"/>
        <w:rPr>
          <w:b/>
          <w:lang w:val="en-GB"/>
        </w:rPr>
      </w:pPr>
    </w:p>
    <w:p w:rsidR="00200A87" w:rsidRPr="00A25238" w:rsidRDefault="00200A87" w:rsidP="00BE6FAD">
      <w:pPr>
        <w:pStyle w:val="Normal1"/>
        <w:spacing w:before="0" w:beforeAutospacing="0" w:after="0" w:afterAutospacing="0"/>
        <w:jc w:val="both"/>
        <w:rPr>
          <w:b/>
          <w:lang w:val="en-GB"/>
        </w:rPr>
      </w:pPr>
    </w:p>
    <w:p w:rsidR="00BE6FAD" w:rsidRPr="00A25238" w:rsidRDefault="00BE6FAD" w:rsidP="00BE6FAD">
      <w:pPr>
        <w:pStyle w:val="Normal1"/>
        <w:spacing w:before="0" w:beforeAutospacing="0" w:after="0" w:afterAutospacing="0"/>
        <w:jc w:val="both"/>
        <w:rPr>
          <w:b/>
          <w:lang w:val="en-GB"/>
        </w:rPr>
      </w:pPr>
      <w:r w:rsidRPr="00A25238">
        <w:rPr>
          <w:b/>
          <w:lang w:val="en-GB"/>
        </w:rPr>
        <w:t>FOR THESE REASONS,</w:t>
      </w:r>
    </w:p>
    <w:p w:rsidR="00BE6FAD" w:rsidRPr="00A25238" w:rsidRDefault="00BE6FAD" w:rsidP="00BE6FAD">
      <w:pPr>
        <w:pStyle w:val="Normal1"/>
        <w:spacing w:before="0" w:beforeAutospacing="0" w:after="0" w:afterAutospacing="0"/>
        <w:jc w:val="both"/>
        <w:rPr>
          <w:b/>
          <w:lang w:val="en-GB"/>
        </w:rPr>
      </w:pPr>
    </w:p>
    <w:p w:rsidR="00BE6FAD" w:rsidRPr="00A25238" w:rsidRDefault="00BE6FAD" w:rsidP="00BE6FAD">
      <w:pPr>
        <w:autoSpaceDE w:val="0"/>
        <w:autoSpaceDN w:val="0"/>
        <w:adjustRightInd w:val="0"/>
        <w:jc w:val="both"/>
        <w:rPr>
          <w:lang w:val="en-GB"/>
        </w:rPr>
      </w:pPr>
      <w:r w:rsidRPr="00A25238">
        <w:rPr>
          <w:lang w:val="en-GB"/>
        </w:rPr>
        <w:t>The Panel, unanimously,</w:t>
      </w:r>
    </w:p>
    <w:p w:rsidR="00BE6FAD" w:rsidRPr="00A25238" w:rsidRDefault="00BE6FAD" w:rsidP="00BE6FAD">
      <w:pPr>
        <w:autoSpaceDE w:val="0"/>
        <w:autoSpaceDN w:val="0"/>
        <w:adjustRightInd w:val="0"/>
        <w:jc w:val="both"/>
        <w:rPr>
          <w:lang w:val="en-GB"/>
        </w:rPr>
      </w:pPr>
    </w:p>
    <w:p w:rsidR="002E28B8" w:rsidRPr="00A25238" w:rsidRDefault="002E28B8" w:rsidP="00BE6FAD">
      <w:pPr>
        <w:autoSpaceDE w:val="0"/>
        <w:autoSpaceDN w:val="0"/>
        <w:adjustRightInd w:val="0"/>
        <w:jc w:val="both"/>
        <w:rPr>
          <w:lang w:val="en-GB"/>
        </w:rPr>
      </w:pPr>
    </w:p>
    <w:p w:rsidR="006B3FAD" w:rsidRPr="00A5537A" w:rsidRDefault="006B3FAD" w:rsidP="006B3FAD">
      <w:pPr>
        <w:pStyle w:val="JuList"/>
        <w:numPr>
          <w:ilvl w:val="0"/>
          <w:numId w:val="36"/>
        </w:numPr>
        <w:tabs>
          <w:tab w:val="clear" w:pos="567"/>
          <w:tab w:val="num" w:pos="720"/>
        </w:tabs>
        <w:ind w:left="360"/>
        <w:rPr>
          <w:b/>
        </w:rPr>
      </w:pPr>
      <w:r w:rsidRPr="00A5537A">
        <w:rPr>
          <w:b/>
        </w:rPr>
        <w:t>FINDS THAT THERE HAS BEEN A VIOLATION OF THE PROCEDURAL OBLIGATION UNDER ARTICLE 2 OF THE EUROPEAN CONVENTION ON HUMAN RIGHTS;</w:t>
      </w:r>
    </w:p>
    <w:p w:rsidR="006B3FAD" w:rsidRPr="00A5537A" w:rsidRDefault="006B3FAD" w:rsidP="006B3FAD">
      <w:pPr>
        <w:pStyle w:val="JuList"/>
        <w:ind w:left="0" w:firstLine="0"/>
        <w:rPr>
          <w:b/>
        </w:rPr>
      </w:pPr>
    </w:p>
    <w:p w:rsidR="006B3FAD" w:rsidRPr="00DE495B" w:rsidRDefault="006B3FAD" w:rsidP="006B3FAD">
      <w:pPr>
        <w:pStyle w:val="JuList"/>
        <w:numPr>
          <w:ilvl w:val="0"/>
          <w:numId w:val="36"/>
        </w:numPr>
        <w:tabs>
          <w:tab w:val="clear" w:pos="567"/>
          <w:tab w:val="num" w:pos="720"/>
        </w:tabs>
        <w:ind w:left="360"/>
        <w:rPr>
          <w:b/>
          <w:bCs/>
          <w:szCs w:val="24"/>
          <w:lang w:eastAsia="en-US"/>
        </w:rPr>
      </w:pPr>
      <w:r w:rsidRPr="00A5537A">
        <w:rPr>
          <w:b/>
        </w:rPr>
        <w:t>FINDS THAT THE COMPLAINT UNDER ARTICLE 3 IS INADMISSIBLE;</w:t>
      </w:r>
    </w:p>
    <w:p w:rsidR="00BE6FAD" w:rsidRPr="00A25238" w:rsidRDefault="00BE6FAD" w:rsidP="00BE6FAD">
      <w:pPr>
        <w:pStyle w:val="JuList"/>
        <w:ind w:left="0" w:firstLine="0"/>
        <w:rPr>
          <w:b/>
          <w:bCs/>
          <w:lang w:eastAsia="en-US"/>
        </w:rPr>
      </w:pPr>
    </w:p>
    <w:p w:rsidR="002E28B8" w:rsidRPr="00A25238" w:rsidRDefault="002E28B8" w:rsidP="00BE6FAD">
      <w:pPr>
        <w:pStyle w:val="JuList"/>
        <w:ind w:left="0" w:firstLine="0"/>
        <w:rPr>
          <w:b/>
          <w:bCs/>
          <w:lang w:eastAsia="en-US"/>
        </w:rPr>
      </w:pPr>
    </w:p>
    <w:p w:rsidR="00BE6FAD" w:rsidRPr="00A25238" w:rsidRDefault="00BE6FAD" w:rsidP="00BE6FAD">
      <w:pPr>
        <w:pStyle w:val="JuList"/>
        <w:numPr>
          <w:ilvl w:val="0"/>
          <w:numId w:val="36"/>
        </w:numPr>
        <w:tabs>
          <w:tab w:val="clear" w:pos="567"/>
          <w:tab w:val="num" w:pos="720"/>
        </w:tabs>
        <w:ind w:left="360"/>
        <w:rPr>
          <w:b/>
          <w:bCs/>
          <w:lang w:eastAsia="en-US"/>
        </w:rPr>
      </w:pPr>
      <w:r w:rsidRPr="00A25238">
        <w:rPr>
          <w:b/>
        </w:rPr>
        <w:t>RECOMMENDS</w:t>
      </w:r>
      <w:r w:rsidRPr="00A25238">
        <w:rPr>
          <w:b/>
          <w:bCs/>
          <w:lang w:eastAsia="en-US"/>
        </w:rPr>
        <w:t xml:space="preserve"> THAT UNMIK:</w:t>
      </w:r>
    </w:p>
    <w:p w:rsidR="00BE6FAD" w:rsidRPr="00A25238" w:rsidRDefault="00BE6FAD" w:rsidP="00BE6FAD">
      <w:pPr>
        <w:pStyle w:val="JuList"/>
        <w:ind w:left="0" w:firstLine="0"/>
        <w:rPr>
          <w:b/>
          <w:bCs/>
          <w:lang w:eastAsia="en-US"/>
        </w:rPr>
      </w:pPr>
    </w:p>
    <w:p w:rsidR="006B3FAD" w:rsidRPr="00A5537A" w:rsidRDefault="006B3FAD" w:rsidP="006B3FAD">
      <w:pPr>
        <w:pStyle w:val="JuList"/>
        <w:numPr>
          <w:ilvl w:val="0"/>
          <w:numId w:val="37"/>
        </w:numPr>
        <w:ind w:left="720"/>
        <w:rPr>
          <w:b/>
          <w:bCs/>
          <w:lang w:eastAsia="en-US"/>
        </w:rPr>
      </w:pPr>
      <w:r w:rsidRPr="006B3FAD">
        <w:rPr>
          <w:b/>
          <w:bCs/>
          <w:lang w:eastAsia="en-US"/>
        </w:rPr>
        <w:t xml:space="preserve">URGES EULEX AND OTHER COMPETENT AUTHORITIES IN KOSOVO TO TAKE ALL POSSIBLE STEPS IN ORDER TO ENSURE THAT THE CRIMINAL INVESTIGATION INTO THE </w:t>
      </w:r>
      <w:r w:rsidR="00BE6FAD" w:rsidRPr="006B3FAD">
        <w:rPr>
          <w:b/>
          <w:bCs/>
          <w:lang w:eastAsia="en-US"/>
        </w:rPr>
        <w:t xml:space="preserve">DISAPPEARANCE AND </w:t>
      </w:r>
      <w:r w:rsidR="00A04061" w:rsidRPr="006B3FAD">
        <w:rPr>
          <w:b/>
          <w:bCs/>
          <w:lang w:eastAsia="en-US"/>
        </w:rPr>
        <w:t>KILLING</w:t>
      </w:r>
      <w:r w:rsidR="00BE6FAD" w:rsidRPr="006B3FAD">
        <w:rPr>
          <w:b/>
          <w:bCs/>
          <w:lang w:eastAsia="en-US"/>
        </w:rPr>
        <w:t xml:space="preserve"> OF THE COMPLAINANT’S </w:t>
      </w:r>
      <w:r w:rsidR="00203A80" w:rsidRPr="00B3281D">
        <w:rPr>
          <w:b/>
          <w:bCs/>
          <w:lang w:eastAsia="en-US"/>
        </w:rPr>
        <w:t xml:space="preserve">HUSBAND </w:t>
      </w:r>
      <w:r w:rsidRPr="00B3281D">
        <w:rPr>
          <w:b/>
          <w:bCs/>
          <w:lang w:eastAsia="en-US"/>
        </w:rPr>
        <w:t>IS CONTINUED IN COMPLIANCE WITH ARTICLE 2 OF THE ECHR AND</w:t>
      </w:r>
      <w:r w:rsidRPr="00A5537A">
        <w:rPr>
          <w:b/>
          <w:bCs/>
          <w:lang w:eastAsia="en-US"/>
        </w:rPr>
        <w:t xml:space="preserve"> THAT THE PERPETRATORS ARE BROUGHT TO JUSTICE;</w:t>
      </w:r>
    </w:p>
    <w:p w:rsidR="00BE6FAD" w:rsidRPr="006B3FAD" w:rsidRDefault="00BE6FAD" w:rsidP="006B3FAD">
      <w:pPr>
        <w:pStyle w:val="JuList"/>
        <w:ind w:left="360" w:firstLine="0"/>
        <w:rPr>
          <w:b/>
          <w:bCs/>
          <w:lang w:eastAsia="en-US"/>
        </w:rPr>
      </w:pPr>
    </w:p>
    <w:p w:rsidR="00BE6FAD" w:rsidRPr="00A25238" w:rsidRDefault="00DF21DC" w:rsidP="00BE6FAD">
      <w:pPr>
        <w:pStyle w:val="JuList"/>
        <w:numPr>
          <w:ilvl w:val="0"/>
          <w:numId w:val="37"/>
        </w:numPr>
        <w:ind w:left="720"/>
        <w:rPr>
          <w:b/>
          <w:bCs/>
          <w:lang w:eastAsia="en-US"/>
        </w:rPr>
      </w:pPr>
      <w:r w:rsidRPr="00A5537A">
        <w:rPr>
          <w:b/>
          <w:bCs/>
          <w:lang w:eastAsia="en-US"/>
        </w:rPr>
        <w:t xml:space="preserve">PUBLICLY ACKNOWLEDGES RESPONSIBILITY FOR ITS FAILURE TO CONDUCT AN EFFECTIVE INVESTIGATION INTO THE </w:t>
      </w:r>
      <w:r w:rsidR="00BE6FAD" w:rsidRPr="00A25238">
        <w:rPr>
          <w:b/>
          <w:bCs/>
          <w:lang w:eastAsia="en-US"/>
        </w:rPr>
        <w:t xml:space="preserve">DISAPPEARANCE AND </w:t>
      </w:r>
      <w:r w:rsidR="00A04061">
        <w:rPr>
          <w:b/>
          <w:bCs/>
          <w:lang w:eastAsia="en-US"/>
        </w:rPr>
        <w:t>KILLING</w:t>
      </w:r>
      <w:r w:rsidR="00003EE4" w:rsidRPr="00A25238">
        <w:rPr>
          <w:b/>
          <w:bCs/>
          <w:lang w:eastAsia="en-US"/>
        </w:rPr>
        <w:t xml:space="preserve"> </w:t>
      </w:r>
      <w:r w:rsidR="00BE6FAD" w:rsidRPr="00A25238">
        <w:rPr>
          <w:b/>
          <w:bCs/>
          <w:lang w:eastAsia="en-US"/>
        </w:rPr>
        <w:t xml:space="preserve">OF THE COMPLAINANT’S </w:t>
      </w:r>
      <w:r w:rsidR="00203A80">
        <w:rPr>
          <w:b/>
          <w:bCs/>
          <w:lang w:eastAsia="en-US"/>
        </w:rPr>
        <w:t>HUSBAND</w:t>
      </w:r>
      <w:r w:rsidR="00C42B65" w:rsidRPr="00A25238">
        <w:rPr>
          <w:b/>
          <w:bCs/>
          <w:lang w:eastAsia="en-US"/>
        </w:rPr>
        <w:t xml:space="preserve"> </w:t>
      </w:r>
      <w:r w:rsidRPr="00A5537A">
        <w:rPr>
          <w:b/>
          <w:bCs/>
          <w:lang w:eastAsia="en-US"/>
        </w:rPr>
        <w:t>AND MAKES A PUBLIC APOLOGY TO THE COMPLAINANT;</w:t>
      </w:r>
    </w:p>
    <w:p w:rsidR="00BE6FAD" w:rsidRPr="00A25238" w:rsidRDefault="00BE6FAD" w:rsidP="00BE6FAD">
      <w:pPr>
        <w:pStyle w:val="JuList"/>
        <w:ind w:left="360" w:firstLine="0"/>
        <w:rPr>
          <w:b/>
          <w:bCs/>
          <w:lang w:eastAsia="en-US"/>
        </w:rPr>
      </w:pPr>
    </w:p>
    <w:p w:rsidR="00BE6FAD" w:rsidRPr="00A25238" w:rsidRDefault="00DF21DC" w:rsidP="00BE6FAD">
      <w:pPr>
        <w:pStyle w:val="JuList"/>
        <w:numPr>
          <w:ilvl w:val="0"/>
          <w:numId w:val="37"/>
        </w:numPr>
        <w:ind w:left="720"/>
        <w:rPr>
          <w:b/>
          <w:bCs/>
          <w:lang w:eastAsia="en-US"/>
        </w:rPr>
      </w:pPr>
      <w:r w:rsidRPr="00A5537A">
        <w:rPr>
          <w:b/>
          <w:bCs/>
          <w:caps/>
          <w:lang w:val="en-US" w:eastAsia="en-US"/>
        </w:rPr>
        <w:t xml:space="preserve">TAKES </w:t>
      </w:r>
      <w:r w:rsidRPr="00A5537A">
        <w:rPr>
          <w:b/>
          <w:bCs/>
          <w:lang w:eastAsia="en-US"/>
        </w:rPr>
        <w:t>APPROPRIATE</w:t>
      </w:r>
      <w:r w:rsidRPr="00A5537A">
        <w:rPr>
          <w:b/>
          <w:bCs/>
          <w:caps/>
          <w:lang w:val="en-US" w:eastAsia="en-US"/>
        </w:rPr>
        <w:t xml:space="preserve"> STEPS TOWARDS PAYMENT OF ADEQUATE COMPENSATION OF THE COMPLAINANT FOR MORAL DAMAGE</w:t>
      </w:r>
      <w:r w:rsidRPr="00A5537A">
        <w:rPr>
          <w:b/>
          <w:bCs/>
          <w:lang w:eastAsia="en-US"/>
        </w:rPr>
        <w:t>;</w:t>
      </w:r>
    </w:p>
    <w:p w:rsidR="00BE6FAD" w:rsidRPr="00A25238" w:rsidRDefault="00BE6FAD" w:rsidP="00BE6FAD">
      <w:pPr>
        <w:pStyle w:val="JuList"/>
        <w:ind w:left="0" w:firstLine="0"/>
        <w:rPr>
          <w:b/>
          <w:bCs/>
          <w:lang w:eastAsia="en-US"/>
        </w:rPr>
      </w:pPr>
    </w:p>
    <w:p w:rsidR="00BE6FAD" w:rsidRPr="00A25238" w:rsidRDefault="00DF21DC" w:rsidP="00BE6FAD">
      <w:pPr>
        <w:pStyle w:val="JuList"/>
        <w:numPr>
          <w:ilvl w:val="0"/>
          <w:numId w:val="37"/>
        </w:numPr>
        <w:ind w:left="720"/>
        <w:rPr>
          <w:b/>
          <w:bCs/>
          <w:lang w:eastAsia="en-US"/>
        </w:rPr>
      </w:pPr>
      <w:r w:rsidRPr="00A5537A">
        <w:rPr>
          <w:b/>
          <w:bCs/>
          <w:lang w:eastAsia="en-US"/>
        </w:rPr>
        <w:t>TAKES APPROPRIATE STEPS TOWARDS THE REALISATION OF A FULL AND COMPREHENSIVE REPARATION PROGRAMME;</w:t>
      </w:r>
    </w:p>
    <w:p w:rsidR="00BE6FAD" w:rsidRPr="00A25238" w:rsidRDefault="00BE6FAD" w:rsidP="00BE6FAD">
      <w:pPr>
        <w:pStyle w:val="ListParagraph"/>
        <w:rPr>
          <w:b/>
          <w:bCs/>
          <w:lang w:val="en-GB" w:eastAsia="en-US"/>
        </w:rPr>
      </w:pPr>
    </w:p>
    <w:p w:rsidR="00BE6FAD" w:rsidRPr="00A25238" w:rsidRDefault="00DF21DC" w:rsidP="00BE6FAD">
      <w:pPr>
        <w:pStyle w:val="JuList"/>
        <w:numPr>
          <w:ilvl w:val="0"/>
          <w:numId w:val="37"/>
        </w:numPr>
        <w:ind w:left="720"/>
        <w:rPr>
          <w:b/>
          <w:bCs/>
          <w:lang w:eastAsia="en-US"/>
        </w:rPr>
      </w:pPr>
      <w:r w:rsidRPr="00A5537A">
        <w:rPr>
          <w:b/>
          <w:bCs/>
          <w:lang w:eastAsia="en-US"/>
        </w:rPr>
        <w:t>TAKES APPROPRIATE STEPS AT THE UNITED NATIONS AS A GUARANTEE OF NON</w:t>
      </w:r>
      <w:r w:rsidRPr="004A76CF">
        <w:rPr>
          <w:b/>
          <w:bCs/>
          <w:lang w:val="en-US" w:eastAsia="en-US"/>
        </w:rPr>
        <w:t>-</w:t>
      </w:r>
      <w:r w:rsidRPr="00A5537A">
        <w:rPr>
          <w:b/>
          <w:bCs/>
          <w:lang w:eastAsia="en-US"/>
        </w:rPr>
        <w:t>REPETITION;</w:t>
      </w:r>
    </w:p>
    <w:p w:rsidR="00BE6FAD" w:rsidRDefault="00BE6FAD" w:rsidP="00BE6FAD">
      <w:pPr>
        <w:pStyle w:val="JuList"/>
        <w:ind w:left="0" w:firstLine="0"/>
        <w:rPr>
          <w:b/>
          <w:bCs/>
          <w:lang w:eastAsia="en-US"/>
        </w:rPr>
      </w:pPr>
    </w:p>
    <w:p w:rsidR="00200A87" w:rsidRPr="00A25238" w:rsidRDefault="00200A87" w:rsidP="00BE6FAD">
      <w:pPr>
        <w:pStyle w:val="JuList"/>
        <w:ind w:left="0" w:firstLine="0"/>
        <w:rPr>
          <w:b/>
          <w:bCs/>
          <w:lang w:eastAsia="en-US"/>
        </w:rPr>
      </w:pPr>
    </w:p>
    <w:p w:rsidR="00BE6FAD" w:rsidRPr="00A25238" w:rsidRDefault="00DF21DC" w:rsidP="00BE6FAD">
      <w:pPr>
        <w:pStyle w:val="JuList"/>
        <w:numPr>
          <w:ilvl w:val="0"/>
          <w:numId w:val="37"/>
        </w:numPr>
        <w:ind w:left="720"/>
        <w:rPr>
          <w:b/>
          <w:bCs/>
          <w:lang w:eastAsia="en-US"/>
        </w:rPr>
      </w:pPr>
      <w:r w:rsidRPr="00A5537A">
        <w:rPr>
          <w:b/>
          <w:bCs/>
          <w:lang w:eastAsia="en-US"/>
        </w:rPr>
        <w:t>TAKES IMMEDIATE AND EFFECTIVE MEASURES TO IMPLEMENT THE RECOMMENDATIONS OF THE PANEL AND TO INFORM THE COMPLAINANT AND THE PANEL ABOUT FURTHER DEVELOPMENTS IN THIS CASE.</w:t>
      </w:r>
    </w:p>
    <w:p w:rsidR="00BE6FAD" w:rsidRPr="00A25238" w:rsidRDefault="00BE6FAD" w:rsidP="00BE6FAD">
      <w:pPr>
        <w:rPr>
          <w:lang w:val="en-GB"/>
        </w:rPr>
      </w:pPr>
    </w:p>
    <w:p w:rsidR="00BE6FAD" w:rsidRPr="00A25238" w:rsidRDefault="00BE6FAD" w:rsidP="00BE6FAD">
      <w:pPr>
        <w:tabs>
          <w:tab w:val="left" w:pos="357"/>
        </w:tabs>
        <w:autoSpaceDE w:val="0"/>
        <w:jc w:val="both"/>
        <w:rPr>
          <w:lang w:val="en-GB"/>
        </w:rPr>
      </w:pPr>
    </w:p>
    <w:p w:rsidR="00BE6FAD" w:rsidRPr="00A25238" w:rsidRDefault="00BE6FAD" w:rsidP="00BE6FAD">
      <w:pPr>
        <w:tabs>
          <w:tab w:val="left" w:pos="357"/>
        </w:tabs>
        <w:autoSpaceDE w:val="0"/>
        <w:jc w:val="both"/>
        <w:rPr>
          <w:lang w:val="en-GB"/>
        </w:rPr>
      </w:pPr>
    </w:p>
    <w:p w:rsidR="00BE6FAD" w:rsidRPr="00A25238" w:rsidRDefault="00BE6FAD" w:rsidP="00BE6FAD">
      <w:pPr>
        <w:tabs>
          <w:tab w:val="left" w:pos="357"/>
        </w:tabs>
        <w:autoSpaceDE w:val="0"/>
        <w:jc w:val="both"/>
        <w:rPr>
          <w:lang w:val="en-GB"/>
        </w:rPr>
      </w:pPr>
    </w:p>
    <w:p w:rsidR="00BE6FAD" w:rsidRPr="00A25238" w:rsidRDefault="00BE6FAD" w:rsidP="00BE6FAD">
      <w:pPr>
        <w:tabs>
          <w:tab w:val="left" w:pos="357"/>
        </w:tabs>
        <w:autoSpaceDE w:val="0"/>
        <w:jc w:val="both"/>
        <w:rPr>
          <w:lang w:val="en-GB"/>
        </w:rPr>
      </w:pPr>
    </w:p>
    <w:p w:rsidR="00B130F6" w:rsidRPr="00A25238" w:rsidRDefault="00BE6FAD" w:rsidP="00B130F6">
      <w:pPr>
        <w:autoSpaceDE w:val="0"/>
        <w:rPr>
          <w:lang w:val="en-GB"/>
        </w:rPr>
      </w:pPr>
      <w:r w:rsidRPr="00A25238">
        <w:rPr>
          <w:lang w:val="en-GB"/>
        </w:rPr>
        <w:t>Andrey ANTONOV</w:t>
      </w:r>
      <w:r w:rsidRPr="00A25238">
        <w:rPr>
          <w:lang w:val="en-GB"/>
        </w:rPr>
        <w:tab/>
      </w:r>
      <w:r w:rsidRPr="00A25238">
        <w:rPr>
          <w:lang w:val="en-GB"/>
        </w:rPr>
        <w:tab/>
      </w:r>
      <w:r w:rsidRPr="00A25238">
        <w:rPr>
          <w:lang w:val="en-GB"/>
        </w:rPr>
        <w:tab/>
      </w:r>
      <w:r w:rsidRPr="00A25238">
        <w:rPr>
          <w:lang w:val="en-GB"/>
        </w:rPr>
        <w:tab/>
      </w:r>
      <w:r w:rsidRPr="00A25238">
        <w:rPr>
          <w:lang w:val="en-GB"/>
        </w:rPr>
        <w:tab/>
      </w:r>
      <w:r w:rsidRPr="00A25238">
        <w:rPr>
          <w:lang w:val="en-GB"/>
        </w:rPr>
        <w:tab/>
      </w:r>
      <w:r w:rsidRPr="00A25238">
        <w:rPr>
          <w:lang w:val="en-GB"/>
        </w:rPr>
        <w:tab/>
        <w:t>Marek NOWICKI</w:t>
      </w:r>
    </w:p>
    <w:p w:rsidR="00BE6FAD" w:rsidRPr="00A25238" w:rsidRDefault="00B130F6" w:rsidP="00B130F6">
      <w:pPr>
        <w:autoSpaceDE w:val="0"/>
        <w:rPr>
          <w:lang w:val="en-GB"/>
        </w:rPr>
      </w:pPr>
      <w:r w:rsidRPr="00A25238">
        <w:rPr>
          <w:lang w:val="en-GB"/>
        </w:rPr>
        <w:t xml:space="preserve">  </w:t>
      </w:r>
      <w:r w:rsidR="00BE6FAD" w:rsidRPr="00A25238">
        <w:rPr>
          <w:lang w:val="en-GB"/>
        </w:rPr>
        <w:t xml:space="preserve">Executive Officer </w:t>
      </w:r>
      <w:r w:rsidR="00BE6FAD" w:rsidRPr="00A25238">
        <w:rPr>
          <w:lang w:val="en-GB"/>
        </w:rPr>
        <w:tab/>
      </w:r>
      <w:r w:rsidR="00BE6FAD" w:rsidRPr="00A25238">
        <w:rPr>
          <w:lang w:val="en-GB"/>
        </w:rPr>
        <w:tab/>
      </w:r>
      <w:r w:rsidR="00BE6FAD" w:rsidRPr="00A25238">
        <w:rPr>
          <w:lang w:val="en-GB"/>
        </w:rPr>
        <w:tab/>
      </w:r>
      <w:r w:rsidRPr="00A25238">
        <w:rPr>
          <w:lang w:val="en-GB"/>
        </w:rPr>
        <w:tab/>
      </w:r>
      <w:r w:rsidRPr="00A25238">
        <w:rPr>
          <w:lang w:val="en-GB"/>
        </w:rPr>
        <w:tab/>
      </w:r>
      <w:r w:rsidRPr="00A25238">
        <w:rPr>
          <w:lang w:val="en-GB"/>
        </w:rPr>
        <w:tab/>
      </w:r>
      <w:r w:rsidRPr="00A25238">
        <w:rPr>
          <w:lang w:val="en-GB"/>
        </w:rPr>
        <w:tab/>
      </w:r>
      <w:r w:rsidR="003E2A7A" w:rsidRPr="00A25238">
        <w:rPr>
          <w:lang w:val="en-GB"/>
        </w:rPr>
        <w:t xml:space="preserve"> </w:t>
      </w:r>
      <w:r w:rsidR="00BE6FAD" w:rsidRPr="00A25238">
        <w:rPr>
          <w:lang w:val="en-GB"/>
        </w:rPr>
        <w:t>Presiding Member</w:t>
      </w:r>
    </w:p>
    <w:p w:rsidR="00284160" w:rsidRPr="00A25238" w:rsidRDefault="00284160">
      <w:pPr>
        <w:rPr>
          <w:lang w:val="en-GB"/>
        </w:rPr>
      </w:pPr>
      <w:r w:rsidRPr="00A25238">
        <w:rPr>
          <w:lang w:val="en-GB"/>
        </w:rPr>
        <w:br w:type="page"/>
      </w:r>
    </w:p>
    <w:p w:rsidR="00284160" w:rsidRPr="00A25238" w:rsidRDefault="00284160" w:rsidP="00284160">
      <w:pPr>
        <w:jc w:val="right"/>
        <w:rPr>
          <w:i/>
          <w:lang w:val="en-GB"/>
        </w:rPr>
      </w:pPr>
      <w:r w:rsidRPr="00A25238">
        <w:rPr>
          <w:i/>
          <w:lang w:val="en-GB"/>
        </w:rPr>
        <w:t>Annex</w:t>
      </w:r>
    </w:p>
    <w:p w:rsidR="00284160" w:rsidRPr="00A25238" w:rsidRDefault="00284160" w:rsidP="00284160">
      <w:pPr>
        <w:rPr>
          <w:lang w:val="en-GB"/>
        </w:rPr>
      </w:pPr>
    </w:p>
    <w:p w:rsidR="00284160" w:rsidRPr="00A25238" w:rsidRDefault="00284160" w:rsidP="00284160">
      <w:pPr>
        <w:jc w:val="center"/>
        <w:rPr>
          <w:lang w:val="en-GB"/>
        </w:rPr>
      </w:pPr>
      <w:r w:rsidRPr="00A25238">
        <w:rPr>
          <w:b/>
          <w:lang w:val="en-GB"/>
        </w:rPr>
        <w:t>ABBREVIATIONS AND ACRONYMS</w:t>
      </w:r>
    </w:p>
    <w:p w:rsidR="00284160" w:rsidRPr="00A25238" w:rsidRDefault="00284160" w:rsidP="00284160">
      <w:pPr>
        <w:autoSpaceDE w:val="0"/>
        <w:jc w:val="both"/>
        <w:rPr>
          <w:lang w:val="en-GB"/>
        </w:rPr>
      </w:pPr>
    </w:p>
    <w:p w:rsidR="00284160" w:rsidRPr="00A25238" w:rsidRDefault="00284160" w:rsidP="00284160">
      <w:pPr>
        <w:autoSpaceDE w:val="0"/>
        <w:jc w:val="both"/>
        <w:rPr>
          <w:lang w:val="en-GB"/>
        </w:rPr>
      </w:pPr>
    </w:p>
    <w:p w:rsidR="00284160" w:rsidRPr="00A25238" w:rsidRDefault="00284160" w:rsidP="00284160">
      <w:pPr>
        <w:autoSpaceDE w:val="0"/>
        <w:spacing w:line="276" w:lineRule="auto"/>
        <w:ind w:left="540"/>
        <w:jc w:val="both"/>
        <w:rPr>
          <w:lang w:val="en-GB"/>
        </w:rPr>
      </w:pPr>
      <w:r w:rsidRPr="00A25238">
        <w:rPr>
          <w:b/>
          <w:lang w:val="en-GB"/>
        </w:rPr>
        <w:t xml:space="preserve">CCIU </w:t>
      </w:r>
      <w:r w:rsidRPr="00A25238">
        <w:rPr>
          <w:lang w:val="en-GB"/>
        </w:rPr>
        <w:t>- Central Criminal Investigation Unit</w:t>
      </w:r>
    </w:p>
    <w:p w:rsidR="00284160" w:rsidRPr="00A25238" w:rsidRDefault="00284160" w:rsidP="00284160">
      <w:pPr>
        <w:autoSpaceDE w:val="0"/>
        <w:spacing w:line="276" w:lineRule="auto"/>
        <w:ind w:left="540"/>
        <w:jc w:val="both"/>
        <w:rPr>
          <w:lang w:val="en-GB"/>
        </w:rPr>
      </w:pPr>
      <w:r w:rsidRPr="00A25238">
        <w:rPr>
          <w:b/>
          <w:lang w:val="en-GB"/>
        </w:rPr>
        <w:t xml:space="preserve">DOJ </w:t>
      </w:r>
      <w:r w:rsidRPr="00A25238">
        <w:rPr>
          <w:lang w:val="en-GB"/>
        </w:rPr>
        <w:t>- Department of Justice</w:t>
      </w:r>
    </w:p>
    <w:p w:rsidR="00284160" w:rsidRPr="00A25238" w:rsidRDefault="00284160" w:rsidP="00284160">
      <w:pPr>
        <w:autoSpaceDE w:val="0"/>
        <w:spacing w:line="276" w:lineRule="auto"/>
        <w:ind w:left="540"/>
        <w:jc w:val="both"/>
        <w:rPr>
          <w:lang w:val="en-GB"/>
        </w:rPr>
      </w:pPr>
      <w:r w:rsidRPr="00A25238">
        <w:rPr>
          <w:b/>
          <w:lang w:val="en-GB"/>
        </w:rPr>
        <w:t>ECHR</w:t>
      </w:r>
      <w:r w:rsidRPr="00A25238">
        <w:rPr>
          <w:lang w:val="en-GB"/>
        </w:rPr>
        <w:t xml:space="preserve"> - European Convention on Human Rights</w:t>
      </w:r>
    </w:p>
    <w:p w:rsidR="00284160" w:rsidRPr="00A25238" w:rsidRDefault="00284160" w:rsidP="00284160">
      <w:pPr>
        <w:autoSpaceDE w:val="0"/>
        <w:spacing w:line="276" w:lineRule="auto"/>
        <w:ind w:left="540"/>
        <w:jc w:val="both"/>
        <w:rPr>
          <w:lang w:val="en-GB"/>
        </w:rPr>
      </w:pPr>
      <w:r w:rsidRPr="00A25238">
        <w:rPr>
          <w:b/>
          <w:lang w:val="en-GB"/>
        </w:rPr>
        <w:t xml:space="preserve">ECtHR </w:t>
      </w:r>
      <w:r w:rsidRPr="00A25238">
        <w:rPr>
          <w:lang w:val="en-GB"/>
        </w:rPr>
        <w:t xml:space="preserve">- European Court of Human Rights </w:t>
      </w:r>
    </w:p>
    <w:p w:rsidR="00284160" w:rsidRPr="00A25238" w:rsidRDefault="00284160" w:rsidP="00284160">
      <w:pPr>
        <w:autoSpaceDE w:val="0"/>
        <w:spacing w:line="276" w:lineRule="auto"/>
        <w:ind w:left="540"/>
        <w:jc w:val="both"/>
        <w:rPr>
          <w:lang w:val="en-GB"/>
        </w:rPr>
      </w:pPr>
      <w:r w:rsidRPr="00A25238">
        <w:rPr>
          <w:b/>
          <w:lang w:val="en-GB"/>
        </w:rPr>
        <w:t>EU</w:t>
      </w:r>
      <w:r w:rsidRPr="00A25238">
        <w:rPr>
          <w:lang w:val="en-GB"/>
        </w:rPr>
        <w:t xml:space="preserve"> - European Union</w:t>
      </w:r>
    </w:p>
    <w:p w:rsidR="00284160" w:rsidRPr="00A25238" w:rsidRDefault="00284160" w:rsidP="00284160">
      <w:pPr>
        <w:autoSpaceDE w:val="0"/>
        <w:spacing w:line="276" w:lineRule="auto"/>
        <w:ind w:left="540"/>
        <w:jc w:val="both"/>
        <w:rPr>
          <w:lang w:val="en-GB"/>
        </w:rPr>
      </w:pPr>
      <w:r w:rsidRPr="00A25238">
        <w:rPr>
          <w:b/>
          <w:lang w:val="en-GB"/>
        </w:rPr>
        <w:t>EULEX</w:t>
      </w:r>
      <w:r w:rsidRPr="00A25238">
        <w:rPr>
          <w:lang w:val="en-GB"/>
        </w:rPr>
        <w:t xml:space="preserve"> - European Union Rule of Law Mission in Kosovo</w:t>
      </w:r>
    </w:p>
    <w:p w:rsidR="00284160" w:rsidRPr="00A25238" w:rsidRDefault="00284160" w:rsidP="00284160">
      <w:pPr>
        <w:autoSpaceDE w:val="0"/>
        <w:spacing w:line="276" w:lineRule="auto"/>
        <w:ind w:left="540"/>
        <w:jc w:val="both"/>
        <w:rPr>
          <w:lang w:val="en-GB"/>
        </w:rPr>
      </w:pPr>
      <w:r w:rsidRPr="00A25238">
        <w:rPr>
          <w:b/>
          <w:lang w:val="en-GB"/>
        </w:rPr>
        <w:t xml:space="preserve">FRY </w:t>
      </w:r>
      <w:r w:rsidRPr="00A25238">
        <w:rPr>
          <w:lang w:val="en-GB"/>
        </w:rPr>
        <w:t xml:space="preserve">- Federal Republic of Yugoslavia </w:t>
      </w:r>
    </w:p>
    <w:p w:rsidR="00C81172" w:rsidRPr="00A25238" w:rsidRDefault="00C81172" w:rsidP="00284160">
      <w:pPr>
        <w:autoSpaceDE w:val="0"/>
        <w:spacing w:line="276" w:lineRule="auto"/>
        <w:ind w:left="540"/>
        <w:jc w:val="both"/>
        <w:rPr>
          <w:b/>
          <w:lang w:val="en-GB"/>
        </w:rPr>
      </w:pPr>
      <w:r w:rsidRPr="00A25238">
        <w:rPr>
          <w:rFonts w:cs="CAGLHH+TimesNewRoman"/>
          <w:b/>
          <w:color w:val="000000"/>
          <w:lang w:val="en-GB"/>
        </w:rPr>
        <w:t>GC</w:t>
      </w:r>
      <w:r w:rsidRPr="00A25238">
        <w:rPr>
          <w:rFonts w:cs="CAGLHH+TimesNewRoman"/>
          <w:color w:val="000000"/>
          <w:lang w:val="en-GB"/>
        </w:rPr>
        <w:t xml:space="preserve"> - Grand Chamber of the European Court</w:t>
      </w:r>
      <w:r w:rsidRPr="00A25238">
        <w:rPr>
          <w:lang w:val="en-GB"/>
        </w:rPr>
        <w:t xml:space="preserve"> of Human Rights</w:t>
      </w:r>
    </w:p>
    <w:p w:rsidR="00284160" w:rsidRPr="00A25238" w:rsidRDefault="00284160" w:rsidP="00284160">
      <w:pPr>
        <w:autoSpaceDE w:val="0"/>
        <w:spacing w:line="276" w:lineRule="auto"/>
        <w:ind w:left="540"/>
        <w:jc w:val="both"/>
        <w:rPr>
          <w:lang w:val="en-GB"/>
        </w:rPr>
      </w:pPr>
      <w:r w:rsidRPr="00A25238">
        <w:rPr>
          <w:b/>
          <w:lang w:val="en-GB"/>
        </w:rPr>
        <w:t xml:space="preserve">HRAP </w:t>
      </w:r>
      <w:r w:rsidRPr="00A25238">
        <w:rPr>
          <w:lang w:val="en-GB"/>
        </w:rPr>
        <w:t>- Human Rights Advisory Panel</w:t>
      </w:r>
    </w:p>
    <w:p w:rsidR="00284160" w:rsidRPr="00A25238" w:rsidRDefault="00284160" w:rsidP="00284160">
      <w:pPr>
        <w:autoSpaceDE w:val="0"/>
        <w:spacing w:line="276" w:lineRule="auto"/>
        <w:ind w:left="540"/>
        <w:jc w:val="both"/>
        <w:rPr>
          <w:lang w:val="en-GB"/>
        </w:rPr>
      </w:pPr>
      <w:r w:rsidRPr="00A25238">
        <w:rPr>
          <w:b/>
          <w:lang w:val="en-GB"/>
        </w:rPr>
        <w:t>HRC</w:t>
      </w:r>
      <w:r w:rsidRPr="00A25238">
        <w:rPr>
          <w:lang w:val="en-GB"/>
        </w:rPr>
        <w:t xml:space="preserve"> - United Nation</w:t>
      </w:r>
      <w:r w:rsidR="00DB2E6D" w:rsidRPr="00A25238">
        <w:rPr>
          <w:lang w:val="en-GB"/>
        </w:rPr>
        <w:t>s</w:t>
      </w:r>
      <w:r w:rsidRPr="00A25238">
        <w:rPr>
          <w:lang w:val="en-GB"/>
        </w:rPr>
        <w:t xml:space="preserve"> Human Rights Committee</w:t>
      </w:r>
    </w:p>
    <w:p w:rsidR="00284160" w:rsidRPr="00A25238" w:rsidRDefault="00284160" w:rsidP="00284160">
      <w:pPr>
        <w:autoSpaceDE w:val="0"/>
        <w:spacing w:line="276" w:lineRule="auto"/>
        <w:ind w:left="540"/>
        <w:jc w:val="both"/>
        <w:rPr>
          <w:lang w:val="en-GB"/>
        </w:rPr>
      </w:pPr>
      <w:r w:rsidRPr="00A25238">
        <w:rPr>
          <w:b/>
          <w:lang w:val="en-GB"/>
        </w:rPr>
        <w:t xml:space="preserve">IACtHR </w:t>
      </w:r>
      <w:r w:rsidRPr="00A25238">
        <w:rPr>
          <w:lang w:val="en-GB"/>
        </w:rPr>
        <w:t>- Inter-American Court of Human Rights</w:t>
      </w:r>
    </w:p>
    <w:p w:rsidR="00284160" w:rsidRPr="00A25238" w:rsidRDefault="00284160" w:rsidP="00284160">
      <w:pPr>
        <w:autoSpaceDE w:val="0"/>
        <w:spacing w:line="276" w:lineRule="auto"/>
        <w:ind w:left="540"/>
        <w:jc w:val="both"/>
        <w:rPr>
          <w:lang w:val="en-GB"/>
        </w:rPr>
      </w:pPr>
      <w:r w:rsidRPr="00A25238">
        <w:rPr>
          <w:b/>
          <w:lang w:val="en-GB"/>
        </w:rPr>
        <w:t xml:space="preserve">ICCPR </w:t>
      </w:r>
      <w:r w:rsidRPr="00A25238">
        <w:rPr>
          <w:lang w:val="en-GB"/>
        </w:rPr>
        <w:t>- International Covenant on Civil and Political Rights</w:t>
      </w:r>
    </w:p>
    <w:p w:rsidR="00284160" w:rsidRPr="00A25238" w:rsidRDefault="00284160" w:rsidP="00284160">
      <w:pPr>
        <w:autoSpaceDE w:val="0"/>
        <w:spacing w:line="276" w:lineRule="auto"/>
        <w:ind w:left="540"/>
        <w:jc w:val="both"/>
        <w:rPr>
          <w:lang w:val="en-GB"/>
        </w:rPr>
      </w:pPr>
      <w:r w:rsidRPr="00A25238">
        <w:rPr>
          <w:b/>
          <w:lang w:val="en-GB"/>
        </w:rPr>
        <w:t>ICMP</w:t>
      </w:r>
      <w:r w:rsidRPr="00A25238">
        <w:rPr>
          <w:lang w:val="en-GB"/>
        </w:rPr>
        <w:t xml:space="preserve"> - International Commission of Missing Persons</w:t>
      </w:r>
    </w:p>
    <w:p w:rsidR="00284160" w:rsidRPr="00A25238" w:rsidRDefault="00284160" w:rsidP="00284160">
      <w:pPr>
        <w:autoSpaceDE w:val="0"/>
        <w:spacing w:line="276" w:lineRule="auto"/>
        <w:ind w:left="540"/>
        <w:jc w:val="both"/>
        <w:rPr>
          <w:lang w:val="en-GB"/>
        </w:rPr>
      </w:pPr>
      <w:r w:rsidRPr="00A25238">
        <w:rPr>
          <w:b/>
          <w:lang w:val="en-GB"/>
        </w:rPr>
        <w:t>ICRC</w:t>
      </w:r>
      <w:r w:rsidRPr="00A25238">
        <w:rPr>
          <w:lang w:val="en-GB"/>
        </w:rPr>
        <w:t xml:space="preserve"> - International Committee of the Red Cross</w:t>
      </w:r>
    </w:p>
    <w:p w:rsidR="00284160" w:rsidRPr="00A25238" w:rsidRDefault="00284160" w:rsidP="00284160">
      <w:pPr>
        <w:autoSpaceDE w:val="0"/>
        <w:spacing w:line="276" w:lineRule="auto"/>
        <w:ind w:left="540"/>
        <w:jc w:val="both"/>
        <w:rPr>
          <w:lang w:val="en-GB"/>
        </w:rPr>
      </w:pPr>
      <w:r w:rsidRPr="00A25238">
        <w:rPr>
          <w:b/>
          <w:lang w:val="en-GB"/>
        </w:rPr>
        <w:t>KFOR</w:t>
      </w:r>
      <w:r w:rsidRPr="00A25238">
        <w:rPr>
          <w:lang w:val="en-GB"/>
        </w:rPr>
        <w:t xml:space="preserve"> - International Security Force (commonly known as Kosovo Force)</w:t>
      </w:r>
    </w:p>
    <w:p w:rsidR="00284160" w:rsidRPr="00A25238" w:rsidRDefault="00284160" w:rsidP="00284160">
      <w:pPr>
        <w:autoSpaceDE w:val="0"/>
        <w:spacing w:line="276" w:lineRule="auto"/>
        <w:ind w:left="540"/>
        <w:jc w:val="both"/>
        <w:rPr>
          <w:lang w:val="en-GB"/>
        </w:rPr>
      </w:pPr>
      <w:r w:rsidRPr="00A25238">
        <w:rPr>
          <w:b/>
          <w:lang w:val="en-GB"/>
        </w:rPr>
        <w:t>KLA</w:t>
      </w:r>
      <w:r w:rsidRPr="00A25238">
        <w:rPr>
          <w:lang w:val="en-GB"/>
        </w:rPr>
        <w:t xml:space="preserve"> - Kosovo Liberation Army</w:t>
      </w:r>
    </w:p>
    <w:p w:rsidR="00284160" w:rsidRPr="00A25238" w:rsidRDefault="00284160" w:rsidP="00284160">
      <w:pPr>
        <w:autoSpaceDE w:val="0"/>
        <w:spacing w:line="276" w:lineRule="auto"/>
        <w:ind w:left="540"/>
        <w:jc w:val="both"/>
        <w:rPr>
          <w:b/>
          <w:lang w:val="en-GB"/>
        </w:rPr>
      </w:pPr>
      <w:r w:rsidRPr="00A25238">
        <w:rPr>
          <w:b/>
          <w:lang w:val="en-GB"/>
        </w:rPr>
        <w:t xml:space="preserve">MoU - </w:t>
      </w:r>
      <w:r w:rsidRPr="00A25238">
        <w:rPr>
          <w:lang w:val="en-GB"/>
        </w:rPr>
        <w:t>Memorandum of Understanding</w:t>
      </w:r>
    </w:p>
    <w:p w:rsidR="00284160" w:rsidRPr="00A25238" w:rsidRDefault="00284160" w:rsidP="00284160">
      <w:pPr>
        <w:autoSpaceDE w:val="0"/>
        <w:spacing w:line="276" w:lineRule="auto"/>
        <w:ind w:left="540"/>
        <w:jc w:val="both"/>
        <w:rPr>
          <w:lang w:val="en-GB"/>
        </w:rPr>
      </w:pPr>
      <w:r w:rsidRPr="00A25238">
        <w:rPr>
          <w:b/>
          <w:lang w:val="en-GB"/>
        </w:rPr>
        <w:t xml:space="preserve">MPU </w:t>
      </w:r>
      <w:r w:rsidRPr="00A25238">
        <w:rPr>
          <w:lang w:val="en-GB"/>
        </w:rPr>
        <w:t>- Missing Persons Unit</w:t>
      </w:r>
    </w:p>
    <w:p w:rsidR="00284160" w:rsidRPr="00A25238" w:rsidRDefault="00284160" w:rsidP="00284160">
      <w:pPr>
        <w:autoSpaceDE w:val="0"/>
        <w:spacing w:line="276" w:lineRule="auto"/>
        <w:ind w:left="540"/>
        <w:jc w:val="both"/>
        <w:rPr>
          <w:lang w:val="en-GB"/>
        </w:rPr>
      </w:pPr>
      <w:r w:rsidRPr="00A25238">
        <w:rPr>
          <w:b/>
          <w:lang w:val="en-GB"/>
        </w:rPr>
        <w:t>NATO</w:t>
      </w:r>
      <w:r w:rsidRPr="00A25238">
        <w:rPr>
          <w:lang w:val="en-GB"/>
        </w:rPr>
        <w:t xml:space="preserve"> - North Atlantic Treaty Organization </w:t>
      </w:r>
    </w:p>
    <w:p w:rsidR="00284160" w:rsidRPr="00A25238" w:rsidRDefault="00284160" w:rsidP="00284160">
      <w:pPr>
        <w:autoSpaceDE w:val="0"/>
        <w:spacing w:line="276" w:lineRule="auto"/>
        <w:ind w:left="540"/>
        <w:jc w:val="both"/>
        <w:rPr>
          <w:lang w:val="en-GB"/>
        </w:rPr>
      </w:pPr>
      <w:r w:rsidRPr="00A25238">
        <w:rPr>
          <w:b/>
          <w:lang w:val="en-GB"/>
        </w:rPr>
        <w:t>OMPF</w:t>
      </w:r>
      <w:r w:rsidRPr="00A25238">
        <w:rPr>
          <w:lang w:val="en-GB"/>
        </w:rPr>
        <w:t xml:space="preserve"> - Office on Missing Persons and Forensics</w:t>
      </w:r>
    </w:p>
    <w:p w:rsidR="00284160" w:rsidRPr="00A25238" w:rsidRDefault="00284160" w:rsidP="00284160">
      <w:pPr>
        <w:autoSpaceDE w:val="0"/>
        <w:spacing w:line="276" w:lineRule="auto"/>
        <w:ind w:left="540"/>
        <w:jc w:val="both"/>
        <w:rPr>
          <w:lang w:val="en-GB"/>
        </w:rPr>
      </w:pPr>
      <w:r w:rsidRPr="00A25238">
        <w:rPr>
          <w:b/>
          <w:lang w:val="en-GB"/>
        </w:rPr>
        <w:t>OSCE</w:t>
      </w:r>
      <w:r w:rsidRPr="00A25238">
        <w:rPr>
          <w:lang w:val="en-GB"/>
        </w:rPr>
        <w:t xml:space="preserve"> - Organization for Security and Cooperation in Europe</w:t>
      </w:r>
    </w:p>
    <w:p w:rsidR="00284160" w:rsidRPr="00A25238" w:rsidRDefault="00284160" w:rsidP="00284160">
      <w:pPr>
        <w:autoSpaceDE w:val="0"/>
        <w:spacing w:line="276" w:lineRule="auto"/>
        <w:ind w:left="540"/>
        <w:jc w:val="both"/>
        <w:rPr>
          <w:lang w:val="en-GB"/>
        </w:rPr>
      </w:pPr>
      <w:r w:rsidRPr="00A25238">
        <w:rPr>
          <w:b/>
          <w:lang w:val="en-GB"/>
        </w:rPr>
        <w:t xml:space="preserve">RIU - </w:t>
      </w:r>
      <w:r w:rsidRPr="00A25238">
        <w:rPr>
          <w:lang w:val="en-GB"/>
        </w:rPr>
        <w:t>Regional Investigation Unit</w:t>
      </w:r>
    </w:p>
    <w:p w:rsidR="00284160" w:rsidRPr="00A25238" w:rsidRDefault="00284160" w:rsidP="00284160">
      <w:pPr>
        <w:autoSpaceDE w:val="0"/>
        <w:spacing w:line="276" w:lineRule="auto"/>
        <w:ind w:left="540"/>
        <w:jc w:val="both"/>
        <w:rPr>
          <w:lang w:val="en-GB"/>
        </w:rPr>
      </w:pPr>
      <w:r w:rsidRPr="00A25238">
        <w:rPr>
          <w:b/>
          <w:lang w:val="en-GB"/>
        </w:rPr>
        <w:t>SRSG</w:t>
      </w:r>
      <w:r w:rsidRPr="00A25238">
        <w:rPr>
          <w:lang w:val="en-GB"/>
        </w:rPr>
        <w:t xml:space="preserve"> - Special Representative of the Secretary-General </w:t>
      </w:r>
    </w:p>
    <w:p w:rsidR="00284160" w:rsidRPr="00A25238" w:rsidRDefault="00284160" w:rsidP="00284160">
      <w:pPr>
        <w:autoSpaceDE w:val="0"/>
        <w:spacing w:line="276" w:lineRule="auto"/>
        <w:ind w:left="540"/>
        <w:jc w:val="both"/>
        <w:rPr>
          <w:lang w:val="en-GB"/>
        </w:rPr>
      </w:pPr>
      <w:r w:rsidRPr="00A25238">
        <w:rPr>
          <w:b/>
          <w:lang w:val="en-GB"/>
        </w:rPr>
        <w:t>UN</w:t>
      </w:r>
      <w:r w:rsidRPr="00A25238">
        <w:rPr>
          <w:lang w:val="en-GB"/>
        </w:rPr>
        <w:t xml:space="preserve"> - United Nations</w:t>
      </w:r>
    </w:p>
    <w:p w:rsidR="00284160" w:rsidRPr="00A25238" w:rsidRDefault="00284160" w:rsidP="00284160">
      <w:pPr>
        <w:autoSpaceDE w:val="0"/>
        <w:spacing w:line="276" w:lineRule="auto"/>
        <w:ind w:left="540"/>
        <w:jc w:val="both"/>
        <w:rPr>
          <w:lang w:val="en-GB"/>
        </w:rPr>
      </w:pPr>
      <w:r w:rsidRPr="00A25238">
        <w:rPr>
          <w:b/>
          <w:lang w:val="en-GB"/>
        </w:rPr>
        <w:t xml:space="preserve">UNHCR </w:t>
      </w:r>
      <w:r w:rsidRPr="00A25238">
        <w:rPr>
          <w:lang w:val="en-GB"/>
        </w:rPr>
        <w:t>- United Nations High Commissioner for Refugees</w:t>
      </w:r>
    </w:p>
    <w:p w:rsidR="00284160" w:rsidRPr="00A25238" w:rsidRDefault="00284160" w:rsidP="00284160">
      <w:pPr>
        <w:autoSpaceDE w:val="0"/>
        <w:spacing w:line="276" w:lineRule="auto"/>
        <w:ind w:left="540"/>
        <w:jc w:val="both"/>
        <w:rPr>
          <w:lang w:val="en-GB"/>
        </w:rPr>
      </w:pPr>
      <w:r w:rsidRPr="00A25238">
        <w:rPr>
          <w:b/>
          <w:lang w:val="en-GB"/>
        </w:rPr>
        <w:t>UNMIK</w:t>
      </w:r>
      <w:r w:rsidRPr="00A25238">
        <w:rPr>
          <w:lang w:val="en-GB"/>
        </w:rPr>
        <w:t xml:space="preserve"> - United Nations Interim Administration Mission in Kosovo </w:t>
      </w:r>
    </w:p>
    <w:p w:rsidR="00284160" w:rsidRPr="00A25238" w:rsidRDefault="00284160" w:rsidP="00284160">
      <w:pPr>
        <w:autoSpaceDE w:val="0"/>
        <w:spacing w:line="276" w:lineRule="auto"/>
        <w:ind w:left="540"/>
        <w:jc w:val="both"/>
        <w:rPr>
          <w:lang w:val="en-GB"/>
        </w:rPr>
      </w:pPr>
      <w:r w:rsidRPr="00A25238">
        <w:rPr>
          <w:b/>
          <w:lang w:val="en-GB"/>
        </w:rPr>
        <w:t>VRIC</w:t>
      </w:r>
      <w:r w:rsidRPr="00A25238">
        <w:rPr>
          <w:lang w:val="en-GB"/>
        </w:rPr>
        <w:t xml:space="preserve"> - Victim Recovery and Identification Commission</w:t>
      </w:r>
    </w:p>
    <w:p w:rsidR="00284160" w:rsidRPr="00A25238" w:rsidRDefault="00284160" w:rsidP="00284160">
      <w:pPr>
        <w:autoSpaceDE w:val="0"/>
        <w:spacing w:line="276" w:lineRule="auto"/>
        <w:ind w:left="540"/>
        <w:jc w:val="both"/>
        <w:rPr>
          <w:lang w:val="en-GB"/>
        </w:rPr>
      </w:pPr>
      <w:r w:rsidRPr="00A25238">
        <w:rPr>
          <w:b/>
          <w:lang w:val="en-GB"/>
        </w:rPr>
        <w:t xml:space="preserve">WCIU </w:t>
      </w:r>
      <w:r w:rsidRPr="00A25238">
        <w:rPr>
          <w:lang w:val="en-GB"/>
        </w:rPr>
        <w:t>- War Crimes Investigation Unit</w:t>
      </w:r>
    </w:p>
    <w:sectPr w:rsidR="00284160" w:rsidRPr="00A25238" w:rsidSect="002E28B8">
      <w:headerReference w:type="default" r:id="rId10"/>
      <w:pgSz w:w="12240" w:h="15840"/>
      <w:pgMar w:top="907"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E6" w:rsidRDefault="00DB66E6">
      <w:r>
        <w:separator/>
      </w:r>
    </w:p>
  </w:endnote>
  <w:endnote w:type="continuationSeparator" w:id="0">
    <w:p w:rsidR="00DB66E6" w:rsidRDefault="00DB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E6" w:rsidRDefault="00DB66E6">
      <w:r>
        <w:separator/>
      </w:r>
    </w:p>
  </w:footnote>
  <w:footnote w:type="continuationSeparator" w:id="0">
    <w:p w:rsidR="00DB66E6" w:rsidRDefault="00DB66E6">
      <w:r>
        <w:continuationSeparator/>
      </w:r>
    </w:p>
  </w:footnote>
  <w:footnote w:id="1">
    <w:p w:rsidR="003A5880" w:rsidRPr="00DD3E1C" w:rsidRDefault="003A5880" w:rsidP="003041AF">
      <w:pPr>
        <w:pStyle w:val="FootnoteText"/>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A list of abbreviations and acronyms contained in the text can be found in the attached Annex.</w:t>
      </w:r>
    </w:p>
  </w:footnote>
  <w:footnote w:id="2">
    <w:p w:rsidR="003A5880" w:rsidRPr="00680EF0" w:rsidRDefault="003A5880" w:rsidP="003041AF">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80" w:rsidRPr="001A67D1" w:rsidRDefault="002E0BC6">
    <w:pPr>
      <w:pStyle w:val="Header"/>
      <w:jc w:val="right"/>
    </w:pPr>
    <w:r w:rsidRPr="00284160">
      <w:rPr>
        <w:sz w:val="22"/>
        <w:szCs w:val="22"/>
      </w:rPr>
      <w:fldChar w:fldCharType="begin"/>
    </w:r>
    <w:r w:rsidR="003A5880" w:rsidRPr="00284160">
      <w:rPr>
        <w:sz w:val="22"/>
        <w:szCs w:val="22"/>
      </w:rPr>
      <w:instrText xml:space="preserve"> PAGE   \* MERGEFORMAT </w:instrText>
    </w:r>
    <w:r w:rsidRPr="00284160">
      <w:rPr>
        <w:sz w:val="22"/>
        <w:szCs w:val="22"/>
      </w:rPr>
      <w:fldChar w:fldCharType="separate"/>
    </w:r>
    <w:r w:rsidR="00857915">
      <w:rPr>
        <w:noProof/>
        <w:sz w:val="22"/>
        <w:szCs w:val="22"/>
      </w:rPr>
      <w:t>6</w:t>
    </w:r>
    <w:r w:rsidRPr="00284160">
      <w:rPr>
        <w:sz w:val="22"/>
        <w:szCs w:val="22"/>
      </w:rPr>
      <w:fldChar w:fldCharType="end"/>
    </w:r>
  </w:p>
  <w:p w:rsidR="003A5880" w:rsidRDefault="003A5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46383"/>
    <w:multiLevelType w:val="hybridMultilevel"/>
    <w:tmpl w:val="CDCC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4594A"/>
    <w:multiLevelType w:val="hybridMultilevel"/>
    <w:tmpl w:val="FBF9AB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355EB3"/>
    <w:multiLevelType w:val="hybridMultilevel"/>
    <w:tmpl w:val="69EAC078"/>
    <w:lvl w:ilvl="0" w:tplc="034E1250">
      <w:start w:val="1"/>
      <w:numFmt w:val="decimal"/>
      <w:lvlText w:val="%1."/>
      <w:lvlJc w:val="left"/>
      <w:pPr>
        <w:ind w:left="45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183926"/>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E30AA1"/>
    <w:multiLevelType w:val="hybridMultilevel"/>
    <w:tmpl w:val="B2B8E284"/>
    <w:lvl w:ilvl="0" w:tplc="FED4B7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FED4B788">
      <w:numFmt w:val="bullet"/>
      <w:lvlText w:val="-"/>
      <w:lvlJc w:val="left"/>
      <w:pPr>
        <w:ind w:left="5400" w:hanging="360"/>
      </w:pPr>
      <w:rPr>
        <w:rFonts w:ascii="Times New Roman" w:eastAsia="Times New Roman" w:hAnsi="Times New Roman" w:cs="Times New Roman"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66FC2"/>
    <w:multiLevelType w:val="hybridMultilevel"/>
    <w:tmpl w:val="57A2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41526C"/>
    <w:multiLevelType w:val="hybridMultilevel"/>
    <w:tmpl w:val="033C6354"/>
    <w:lvl w:ilvl="0" w:tplc="1278DA8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486A4682"/>
    <w:multiLevelType w:val="hybridMultilevel"/>
    <w:tmpl w:val="78C8EF82"/>
    <w:lvl w:ilvl="0" w:tplc="D31A2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B73578"/>
    <w:multiLevelType w:val="hybridMultilevel"/>
    <w:tmpl w:val="0A7ED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761DA"/>
    <w:multiLevelType w:val="hybridMultilevel"/>
    <w:tmpl w:val="49F49E22"/>
    <w:lvl w:ilvl="0" w:tplc="D79053E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
    <w:nsid w:val="56333BAB"/>
    <w:multiLevelType w:val="hybridMultilevel"/>
    <w:tmpl w:val="E5F20360"/>
    <w:lvl w:ilvl="0" w:tplc="E1421CC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590FD1"/>
    <w:multiLevelType w:val="hybridMultilevel"/>
    <w:tmpl w:val="41FE40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413F09"/>
    <w:multiLevelType w:val="hybridMultilevel"/>
    <w:tmpl w:val="F80EE3AC"/>
    <w:lvl w:ilvl="0" w:tplc="CC626900">
      <w:start w:val="1"/>
      <w:numFmt w:val="decimal"/>
      <w:lvlText w:val="%1."/>
      <w:lvlJc w:val="left"/>
      <w:pPr>
        <w:tabs>
          <w:tab w:val="num" w:pos="360"/>
        </w:tabs>
        <w:ind w:left="360" w:hanging="360"/>
      </w:pPr>
      <w:rPr>
        <w:rFonts w:hint="default"/>
        <w:b w:val="0"/>
        <w:i w:val="0"/>
        <w:color w:val="00000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5">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A27E66"/>
    <w:multiLevelType w:val="hybridMultilevel"/>
    <w:tmpl w:val="449C6054"/>
    <w:lvl w:ilvl="0" w:tplc="45BCA81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45BCA81A">
      <w:start w:val="2"/>
      <w:numFmt w:val="bullet"/>
      <w:lvlText w:val="-"/>
      <w:lvlJc w:val="left"/>
      <w:pPr>
        <w:ind w:left="4680" w:hanging="360"/>
      </w:pPr>
      <w:rPr>
        <w:rFonts w:ascii="Times New Roman" w:eastAsia="Times New Roman" w:hAnsi="Times New Roman"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BB057F"/>
    <w:multiLevelType w:val="hybridMultilevel"/>
    <w:tmpl w:val="DA6879AE"/>
    <w:lvl w:ilvl="0" w:tplc="68BEA04E">
      <w:start w:val="1"/>
      <w:numFmt w:val="decimal"/>
      <w:lvlText w:val="%1."/>
      <w:lvlJc w:val="left"/>
      <w:pPr>
        <w:tabs>
          <w:tab w:val="num" w:pos="360"/>
        </w:tabs>
        <w:ind w:left="36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0">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13"/>
  </w:num>
  <w:num w:numId="5">
    <w:abstractNumId w:val="39"/>
  </w:num>
  <w:num w:numId="6">
    <w:abstractNumId w:val="23"/>
  </w:num>
  <w:num w:numId="7">
    <w:abstractNumId w:val="19"/>
  </w:num>
  <w:num w:numId="8">
    <w:abstractNumId w:val="37"/>
  </w:num>
  <w:num w:numId="9">
    <w:abstractNumId w:val="3"/>
  </w:num>
  <w:num w:numId="10">
    <w:abstractNumId w:val="31"/>
  </w:num>
  <w:num w:numId="11">
    <w:abstractNumId w:val="24"/>
  </w:num>
  <w:num w:numId="12">
    <w:abstractNumId w:val="6"/>
  </w:num>
  <w:num w:numId="13">
    <w:abstractNumId w:val="14"/>
  </w:num>
  <w:num w:numId="14">
    <w:abstractNumId w:val="25"/>
  </w:num>
  <w:num w:numId="15">
    <w:abstractNumId w:val="32"/>
  </w:num>
  <w:num w:numId="16">
    <w:abstractNumId w:val="27"/>
  </w:num>
  <w:num w:numId="17">
    <w:abstractNumId w:val="0"/>
  </w:num>
  <w:num w:numId="18">
    <w:abstractNumId w:val="11"/>
  </w:num>
  <w:num w:numId="19">
    <w:abstractNumId w:val="36"/>
  </w:num>
  <w:num w:numId="20">
    <w:abstractNumId w:val="21"/>
  </w:num>
  <w:num w:numId="21">
    <w:abstractNumId w:val="4"/>
  </w:num>
  <w:num w:numId="22">
    <w:abstractNumId w:val="8"/>
  </w:num>
  <w:num w:numId="23">
    <w:abstractNumId w:val="35"/>
  </w:num>
  <w:num w:numId="24">
    <w:abstractNumId w:val="7"/>
  </w:num>
  <w:num w:numId="25">
    <w:abstractNumId w:val="17"/>
  </w:num>
  <w:num w:numId="26">
    <w:abstractNumId w:val="26"/>
  </w:num>
  <w:num w:numId="27">
    <w:abstractNumId w:val="38"/>
  </w:num>
  <w:num w:numId="28">
    <w:abstractNumId w:val="28"/>
  </w:num>
  <w:num w:numId="29">
    <w:abstractNumId w:val="30"/>
  </w:num>
  <w:num w:numId="30">
    <w:abstractNumId w:val="20"/>
  </w:num>
  <w:num w:numId="31">
    <w:abstractNumId w:val="29"/>
  </w:num>
  <w:num w:numId="32">
    <w:abstractNumId w:val="34"/>
  </w:num>
  <w:num w:numId="33">
    <w:abstractNumId w:val="5"/>
  </w:num>
  <w:num w:numId="34">
    <w:abstractNumId w:val="22"/>
  </w:num>
  <w:num w:numId="35">
    <w:abstractNumId w:val="18"/>
  </w:num>
  <w:num w:numId="36">
    <w:abstractNumId w:val="33"/>
  </w:num>
  <w:num w:numId="37">
    <w:abstractNumId w:val="2"/>
  </w:num>
  <w:num w:numId="38">
    <w:abstractNumId w:val="1"/>
  </w:num>
  <w:num w:numId="39">
    <w:abstractNumId w:val="10"/>
  </w:num>
  <w:num w:numId="40">
    <w:abstractNumId w:val="1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262B44"/>
    <w:rsid w:val="00003EE4"/>
    <w:rsid w:val="0000536C"/>
    <w:rsid w:val="00005EDC"/>
    <w:rsid w:val="0000633A"/>
    <w:rsid w:val="00012218"/>
    <w:rsid w:val="000204B4"/>
    <w:rsid w:val="00025BD8"/>
    <w:rsid w:val="00025D67"/>
    <w:rsid w:val="000312A2"/>
    <w:rsid w:val="00033882"/>
    <w:rsid w:val="00041AD7"/>
    <w:rsid w:val="00051208"/>
    <w:rsid w:val="00056A99"/>
    <w:rsid w:val="00057B23"/>
    <w:rsid w:val="00064E34"/>
    <w:rsid w:val="000709F0"/>
    <w:rsid w:val="00074F08"/>
    <w:rsid w:val="0007534E"/>
    <w:rsid w:val="00076936"/>
    <w:rsid w:val="00077DE9"/>
    <w:rsid w:val="00082FC0"/>
    <w:rsid w:val="000852EC"/>
    <w:rsid w:val="00092686"/>
    <w:rsid w:val="00092903"/>
    <w:rsid w:val="00094FA3"/>
    <w:rsid w:val="00095637"/>
    <w:rsid w:val="000A1BE7"/>
    <w:rsid w:val="000A4C40"/>
    <w:rsid w:val="000A6899"/>
    <w:rsid w:val="000A7439"/>
    <w:rsid w:val="000B036D"/>
    <w:rsid w:val="000B46F6"/>
    <w:rsid w:val="000B5C31"/>
    <w:rsid w:val="000C5DCF"/>
    <w:rsid w:val="000D0543"/>
    <w:rsid w:val="000D08E1"/>
    <w:rsid w:val="000D0C46"/>
    <w:rsid w:val="000D21A8"/>
    <w:rsid w:val="000D5BCF"/>
    <w:rsid w:val="000E23B6"/>
    <w:rsid w:val="000E3088"/>
    <w:rsid w:val="000E761D"/>
    <w:rsid w:val="000F013A"/>
    <w:rsid w:val="000F5132"/>
    <w:rsid w:val="000F595E"/>
    <w:rsid w:val="000F69A4"/>
    <w:rsid w:val="000F7E70"/>
    <w:rsid w:val="001003BC"/>
    <w:rsid w:val="001018B0"/>
    <w:rsid w:val="0010688C"/>
    <w:rsid w:val="00113F3F"/>
    <w:rsid w:val="001162A3"/>
    <w:rsid w:val="0012508E"/>
    <w:rsid w:val="00125E44"/>
    <w:rsid w:val="00127DD1"/>
    <w:rsid w:val="00132831"/>
    <w:rsid w:val="00133F08"/>
    <w:rsid w:val="001350FB"/>
    <w:rsid w:val="00136FAA"/>
    <w:rsid w:val="001403C2"/>
    <w:rsid w:val="001449C9"/>
    <w:rsid w:val="001460E1"/>
    <w:rsid w:val="0014767A"/>
    <w:rsid w:val="00150876"/>
    <w:rsid w:val="001512A5"/>
    <w:rsid w:val="0016154E"/>
    <w:rsid w:val="00164407"/>
    <w:rsid w:val="00164F47"/>
    <w:rsid w:val="001727C1"/>
    <w:rsid w:val="00173F75"/>
    <w:rsid w:val="00175D11"/>
    <w:rsid w:val="00182322"/>
    <w:rsid w:val="001852D9"/>
    <w:rsid w:val="00192AA7"/>
    <w:rsid w:val="00194191"/>
    <w:rsid w:val="0019447A"/>
    <w:rsid w:val="00194800"/>
    <w:rsid w:val="00195649"/>
    <w:rsid w:val="001A08B0"/>
    <w:rsid w:val="001A1815"/>
    <w:rsid w:val="001A67D1"/>
    <w:rsid w:val="001B187A"/>
    <w:rsid w:val="001B4BF5"/>
    <w:rsid w:val="001B4F35"/>
    <w:rsid w:val="001B7E46"/>
    <w:rsid w:val="001C0F0F"/>
    <w:rsid w:val="001C2229"/>
    <w:rsid w:val="001D143B"/>
    <w:rsid w:val="001D18CE"/>
    <w:rsid w:val="001D45F5"/>
    <w:rsid w:val="001D6453"/>
    <w:rsid w:val="001D7C7D"/>
    <w:rsid w:val="001E09E7"/>
    <w:rsid w:val="001E2A7D"/>
    <w:rsid w:val="001E4540"/>
    <w:rsid w:val="001E6336"/>
    <w:rsid w:val="00200A87"/>
    <w:rsid w:val="00203A80"/>
    <w:rsid w:val="00207EF6"/>
    <w:rsid w:val="0021015C"/>
    <w:rsid w:val="002119C2"/>
    <w:rsid w:val="00213E49"/>
    <w:rsid w:val="002152A2"/>
    <w:rsid w:val="002201E7"/>
    <w:rsid w:val="002215D4"/>
    <w:rsid w:val="00222D2F"/>
    <w:rsid w:val="0022343B"/>
    <w:rsid w:val="0022364D"/>
    <w:rsid w:val="002264BF"/>
    <w:rsid w:val="00227FA6"/>
    <w:rsid w:val="00230DC1"/>
    <w:rsid w:val="0023308F"/>
    <w:rsid w:val="00233A88"/>
    <w:rsid w:val="00237381"/>
    <w:rsid w:val="0024300A"/>
    <w:rsid w:val="00245BAA"/>
    <w:rsid w:val="00245EBF"/>
    <w:rsid w:val="00247379"/>
    <w:rsid w:val="00253246"/>
    <w:rsid w:val="0025400A"/>
    <w:rsid w:val="002579EE"/>
    <w:rsid w:val="002609E5"/>
    <w:rsid w:val="00262B44"/>
    <w:rsid w:val="00263801"/>
    <w:rsid w:val="00263AB5"/>
    <w:rsid w:val="00266205"/>
    <w:rsid w:val="002767A4"/>
    <w:rsid w:val="002817D5"/>
    <w:rsid w:val="00281FB3"/>
    <w:rsid w:val="00284160"/>
    <w:rsid w:val="0028681E"/>
    <w:rsid w:val="00290DB9"/>
    <w:rsid w:val="00292038"/>
    <w:rsid w:val="00293B0E"/>
    <w:rsid w:val="002A02E5"/>
    <w:rsid w:val="002A04F2"/>
    <w:rsid w:val="002A2BCA"/>
    <w:rsid w:val="002A2F09"/>
    <w:rsid w:val="002A59F7"/>
    <w:rsid w:val="002B3D61"/>
    <w:rsid w:val="002C3F73"/>
    <w:rsid w:val="002C4A3F"/>
    <w:rsid w:val="002C6F68"/>
    <w:rsid w:val="002D2884"/>
    <w:rsid w:val="002D4F8F"/>
    <w:rsid w:val="002E0BC6"/>
    <w:rsid w:val="002E28B8"/>
    <w:rsid w:val="002E3BC3"/>
    <w:rsid w:val="002E5F91"/>
    <w:rsid w:val="002F65A0"/>
    <w:rsid w:val="003006B3"/>
    <w:rsid w:val="003041AF"/>
    <w:rsid w:val="00310F91"/>
    <w:rsid w:val="003261AD"/>
    <w:rsid w:val="00327C8D"/>
    <w:rsid w:val="00333CD6"/>
    <w:rsid w:val="003472C6"/>
    <w:rsid w:val="00350C81"/>
    <w:rsid w:val="00351324"/>
    <w:rsid w:val="00354676"/>
    <w:rsid w:val="00355DCC"/>
    <w:rsid w:val="00361768"/>
    <w:rsid w:val="0036768F"/>
    <w:rsid w:val="00367EF9"/>
    <w:rsid w:val="00370EF9"/>
    <w:rsid w:val="00372A92"/>
    <w:rsid w:val="0037385F"/>
    <w:rsid w:val="00376878"/>
    <w:rsid w:val="003805C9"/>
    <w:rsid w:val="00382CFB"/>
    <w:rsid w:val="00387EAE"/>
    <w:rsid w:val="00390653"/>
    <w:rsid w:val="003936AC"/>
    <w:rsid w:val="00393E8D"/>
    <w:rsid w:val="003A3AD1"/>
    <w:rsid w:val="003A44A0"/>
    <w:rsid w:val="003A5880"/>
    <w:rsid w:val="003A5E2D"/>
    <w:rsid w:val="003B09A9"/>
    <w:rsid w:val="003B1C80"/>
    <w:rsid w:val="003B7803"/>
    <w:rsid w:val="003C02A6"/>
    <w:rsid w:val="003C1B87"/>
    <w:rsid w:val="003C341F"/>
    <w:rsid w:val="003C39D4"/>
    <w:rsid w:val="003C6352"/>
    <w:rsid w:val="003C6DFA"/>
    <w:rsid w:val="003E0555"/>
    <w:rsid w:val="003E2A7A"/>
    <w:rsid w:val="003E74BC"/>
    <w:rsid w:val="003F24DA"/>
    <w:rsid w:val="003F4ACC"/>
    <w:rsid w:val="004035BC"/>
    <w:rsid w:val="00405647"/>
    <w:rsid w:val="004073C4"/>
    <w:rsid w:val="004105F5"/>
    <w:rsid w:val="00414797"/>
    <w:rsid w:val="00420E81"/>
    <w:rsid w:val="004223D7"/>
    <w:rsid w:val="004234FA"/>
    <w:rsid w:val="00431BB6"/>
    <w:rsid w:val="004326F7"/>
    <w:rsid w:val="00434BB6"/>
    <w:rsid w:val="00437834"/>
    <w:rsid w:val="00440E88"/>
    <w:rsid w:val="00443387"/>
    <w:rsid w:val="00451A85"/>
    <w:rsid w:val="00454AA4"/>
    <w:rsid w:val="00465885"/>
    <w:rsid w:val="00466E32"/>
    <w:rsid w:val="00467A47"/>
    <w:rsid w:val="00473F9B"/>
    <w:rsid w:val="0048726D"/>
    <w:rsid w:val="00491629"/>
    <w:rsid w:val="00491B79"/>
    <w:rsid w:val="004938F7"/>
    <w:rsid w:val="00495CD7"/>
    <w:rsid w:val="004961CD"/>
    <w:rsid w:val="004A14BD"/>
    <w:rsid w:val="004A2672"/>
    <w:rsid w:val="004A3362"/>
    <w:rsid w:val="004A4D91"/>
    <w:rsid w:val="004A5029"/>
    <w:rsid w:val="004A6ADF"/>
    <w:rsid w:val="004B31C0"/>
    <w:rsid w:val="004B3BEC"/>
    <w:rsid w:val="004C0553"/>
    <w:rsid w:val="004C2A39"/>
    <w:rsid w:val="004C3ABE"/>
    <w:rsid w:val="004D28CE"/>
    <w:rsid w:val="004D3650"/>
    <w:rsid w:val="004D4694"/>
    <w:rsid w:val="004D4DDE"/>
    <w:rsid w:val="004D6B24"/>
    <w:rsid w:val="004E23A3"/>
    <w:rsid w:val="004E489C"/>
    <w:rsid w:val="004E48CA"/>
    <w:rsid w:val="004F19FC"/>
    <w:rsid w:val="004F231E"/>
    <w:rsid w:val="004F6630"/>
    <w:rsid w:val="005041B4"/>
    <w:rsid w:val="00505C47"/>
    <w:rsid w:val="00505ECC"/>
    <w:rsid w:val="00512BF7"/>
    <w:rsid w:val="00514229"/>
    <w:rsid w:val="005142CD"/>
    <w:rsid w:val="00514A7A"/>
    <w:rsid w:val="00514B07"/>
    <w:rsid w:val="005200EF"/>
    <w:rsid w:val="00523386"/>
    <w:rsid w:val="005257F4"/>
    <w:rsid w:val="0052586F"/>
    <w:rsid w:val="00527A4A"/>
    <w:rsid w:val="005308AC"/>
    <w:rsid w:val="00531C92"/>
    <w:rsid w:val="00536252"/>
    <w:rsid w:val="0054280D"/>
    <w:rsid w:val="005430D4"/>
    <w:rsid w:val="00544F56"/>
    <w:rsid w:val="00545A64"/>
    <w:rsid w:val="0055213A"/>
    <w:rsid w:val="005551E0"/>
    <w:rsid w:val="00566A8A"/>
    <w:rsid w:val="00571486"/>
    <w:rsid w:val="0057625F"/>
    <w:rsid w:val="005778E9"/>
    <w:rsid w:val="005836D4"/>
    <w:rsid w:val="0058381B"/>
    <w:rsid w:val="00584113"/>
    <w:rsid w:val="005917EC"/>
    <w:rsid w:val="0059532D"/>
    <w:rsid w:val="00596F32"/>
    <w:rsid w:val="005A21F6"/>
    <w:rsid w:val="005A5794"/>
    <w:rsid w:val="005A7791"/>
    <w:rsid w:val="005A7910"/>
    <w:rsid w:val="005B0E9C"/>
    <w:rsid w:val="005B13EE"/>
    <w:rsid w:val="005B1C23"/>
    <w:rsid w:val="005B4210"/>
    <w:rsid w:val="005B5EAD"/>
    <w:rsid w:val="005B71F4"/>
    <w:rsid w:val="005B7FC4"/>
    <w:rsid w:val="005D10AB"/>
    <w:rsid w:val="005D19AD"/>
    <w:rsid w:val="005D4C1A"/>
    <w:rsid w:val="005E02A7"/>
    <w:rsid w:val="005E362B"/>
    <w:rsid w:val="005F43FB"/>
    <w:rsid w:val="005F686D"/>
    <w:rsid w:val="005F6BA5"/>
    <w:rsid w:val="006004B6"/>
    <w:rsid w:val="00606A13"/>
    <w:rsid w:val="00606C3D"/>
    <w:rsid w:val="00612EEF"/>
    <w:rsid w:val="006205AF"/>
    <w:rsid w:val="00620B0C"/>
    <w:rsid w:val="006248A5"/>
    <w:rsid w:val="00641824"/>
    <w:rsid w:val="00646374"/>
    <w:rsid w:val="00657746"/>
    <w:rsid w:val="00666D9E"/>
    <w:rsid w:val="006671A9"/>
    <w:rsid w:val="00667D22"/>
    <w:rsid w:val="00672EBE"/>
    <w:rsid w:val="00674233"/>
    <w:rsid w:val="00675592"/>
    <w:rsid w:val="00687ACD"/>
    <w:rsid w:val="006906A3"/>
    <w:rsid w:val="006946F9"/>
    <w:rsid w:val="00694ABA"/>
    <w:rsid w:val="0069625D"/>
    <w:rsid w:val="00696442"/>
    <w:rsid w:val="006A1710"/>
    <w:rsid w:val="006A7C1B"/>
    <w:rsid w:val="006B1183"/>
    <w:rsid w:val="006B3FAD"/>
    <w:rsid w:val="006C424E"/>
    <w:rsid w:val="006C6D94"/>
    <w:rsid w:val="006C7219"/>
    <w:rsid w:val="006D3708"/>
    <w:rsid w:val="006D47D1"/>
    <w:rsid w:val="006D64A4"/>
    <w:rsid w:val="006D6DDA"/>
    <w:rsid w:val="006E1170"/>
    <w:rsid w:val="006E156E"/>
    <w:rsid w:val="006E2B68"/>
    <w:rsid w:val="006E7EFF"/>
    <w:rsid w:val="006F04AC"/>
    <w:rsid w:val="006F09A7"/>
    <w:rsid w:val="006F185F"/>
    <w:rsid w:val="006F1E3C"/>
    <w:rsid w:val="006F4F29"/>
    <w:rsid w:val="00702552"/>
    <w:rsid w:val="00703CEB"/>
    <w:rsid w:val="00704732"/>
    <w:rsid w:val="007113B1"/>
    <w:rsid w:val="00712F51"/>
    <w:rsid w:val="00715413"/>
    <w:rsid w:val="00717EFD"/>
    <w:rsid w:val="00720DD0"/>
    <w:rsid w:val="007270F4"/>
    <w:rsid w:val="0075125C"/>
    <w:rsid w:val="00751FB4"/>
    <w:rsid w:val="00752CBA"/>
    <w:rsid w:val="00754113"/>
    <w:rsid w:val="007551D8"/>
    <w:rsid w:val="007630C2"/>
    <w:rsid w:val="007645ED"/>
    <w:rsid w:val="0076572E"/>
    <w:rsid w:val="00767CBA"/>
    <w:rsid w:val="00770367"/>
    <w:rsid w:val="00774E65"/>
    <w:rsid w:val="00780319"/>
    <w:rsid w:val="00781C73"/>
    <w:rsid w:val="00784294"/>
    <w:rsid w:val="00784C56"/>
    <w:rsid w:val="00795BB4"/>
    <w:rsid w:val="007972A5"/>
    <w:rsid w:val="00797D65"/>
    <w:rsid w:val="007A2143"/>
    <w:rsid w:val="007B03A4"/>
    <w:rsid w:val="007C0C53"/>
    <w:rsid w:val="007C36B5"/>
    <w:rsid w:val="007C49D1"/>
    <w:rsid w:val="007C62D8"/>
    <w:rsid w:val="007C65E0"/>
    <w:rsid w:val="007D138C"/>
    <w:rsid w:val="007E039C"/>
    <w:rsid w:val="007E315A"/>
    <w:rsid w:val="007F6026"/>
    <w:rsid w:val="007F656B"/>
    <w:rsid w:val="007F7B95"/>
    <w:rsid w:val="00807460"/>
    <w:rsid w:val="00811CF6"/>
    <w:rsid w:val="008163AC"/>
    <w:rsid w:val="00816B4C"/>
    <w:rsid w:val="00822C03"/>
    <w:rsid w:val="00826459"/>
    <w:rsid w:val="00831AA2"/>
    <w:rsid w:val="008437AF"/>
    <w:rsid w:val="00850866"/>
    <w:rsid w:val="00852A10"/>
    <w:rsid w:val="008576CD"/>
    <w:rsid w:val="00857915"/>
    <w:rsid w:val="008579AB"/>
    <w:rsid w:val="00860941"/>
    <w:rsid w:val="0086273F"/>
    <w:rsid w:val="0086555D"/>
    <w:rsid w:val="0087266C"/>
    <w:rsid w:val="00876471"/>
    <w:rsid w:val="0087751D"/>
    <w:rsid w:val="00877C85"/>
    <w:rsid w:val="0088164D"/>
    <w:rsid w:val="00885045"/>
    <w:rsid w:val="00887FE3"/>
    <w:rsid w:val="0089240E"/>
    <w:rsid w:val="00895F4A"/>
    <w:rsid w:val="00897AB3"/>
    <w:rsid w:val="008A1111"/>
    <w:rsid w:val="008B2E9D"/>
    <w:rsid w:val="008B3F0E"/>
    <w:rsid w:val="008B4BDA"/>
    <w:rsid w:val="008B4E5B"/>
    <w:rsid w:val="008B5EC4"/>
    <w:rsid w:val="008B6C55"/>
    <w:rsid w:val="008B7A73"/>
    <w:rsid w:val="008C7DB9"/>
    <w:rsid w:val="008D065C"/>
    <w:rsid w:val="008D136A"/>
    <w:rsid w:val="008D2DB9"/>
    <w:rsid w:val="008D7902"/>
    <w:rsid w:val="008E1517"/>
    <w:rsid w:val="00901E52"/>
    <w:rsid w:val="009031E4"/>
    <w:rsid w:val="00911599"/>
    <w:rsid w:val="0091161E"/>
    <w:rsid w:val="00911E27"/>
    <w:rsid w:val="00911EF6"/>
    <w:rsid w:val="00917A00"/>
    <w:rsid w:val="00917E87"/>
    <w:rsid w:val="00926E66"/>
    <w:rsid w:val="009326F1"/>
    <w:rsid w:val="00933129"/>
    <w:rsid w:val="009404D0"/>
    <w:rsid w:val="009537CA"/>
    <w:rsid w:val="00955DB4"/>
    <w:rsid w:val="00962C64"/>
    <w:rsid w:val="00964A1A"/>
    <w:rsid w:val="00970864"/>
    <w:rsid w:val="00971C83"/>
    <w:rsid w:val="00977B5A"/>
    <w:rsid w:val="00981667"/>
    <w:rsid w:val="009846ED"/>
    <w:rsid w:val="00994207"/>
    <w:rsid w:val="00995F95"/>
    <w:rsid w:val="009A0019"/>
    <w:rsid w:val="009A1A66"/>
    <w:rsid w:val="009A3550"/>
    <w:rsid w:val="009A5FE6"/>
    <w:rsid w:val="009B4D35"/>
    <w:rsid w:val="009B66ED"/>
    <w:rsid w:val="009C28A7"/>
    <w:rsid w:val="009C2C61"/>
    <w:rsid w:val="009C54B3"/>
    <w:rsid w:val="009C6338"/>
    <w:rsid w:val="009D0EB2"/>
    <w:rsid w:val="009D6992"/>
    <w:rsid w:val="009D7E10"/>
    <w:rsid w:val="009E0847"/>
    <w:rsid w:val="009E7E60"/>
    <w:rsid w:val="009F2F33"/>
    <w:rsid w:val="009F5CA7"/>
    <w:rsid w:val="009F5E2F"/>
    <w:rsid w:val="00A04061"/>
    <w:rsid w:val="00A05A86"/>
    <w:rsid w:val="00A05B20"/>
    <w:rsid w:val="00A05DAD"/>
    <w:rsid w:val="00A07DDA"/>
    <w:rsid w:val="00A16C77"/>
    <w:rsid w:val="00A16F56"/>
    <w:rsid w:val="00A24033"/>
    <w:rsid w:val="00A25238"/>
    <w:rsid w:val="00A25273"/>
    <w:rsid w:val="00A25496"/>
    <w:rsid w:val="00A2756A"/>
    <w:rsid w:val="00A30137"/>
    <w:rsid w:val="00A36817"/>
    <w:rsid w:val="00A40131"/>
    <w:rsid w:val="00A40976"/>
    <w:rsid w:val="00A40F98"/>
    <w:rsid w:val="00A42AEA"/>
    <w:rsid w:val="00A43AA7"/>
    <w:rsid w:val="00A445B9"/>
    <w:rsid w:val="00A45258"/>
    <w:rsid w:val="00A47CBB"/>
    <w:rsid w:val="00A507FF"/>
    <w:rsid w:val="00A54CF4"/>
    <w:rsid w:val="00A54F53"/>
    <w:rsid w:val="00A5537A"/>
    <w:rsid w:val="00A628D5"/>
    <w:rsid w:val="00A63EDC"/>
    <w:rsid w:val="00A7361B"/>
    <w:rsid w:val="00A76DB6"/>
    <w:rsid w:val="00A813B6"/>
    <w:rsid w:val="00A82736"/>
    <w:rsid w:val="00A82979"/>
    <w:rsid w:val="00A82F90"/>
    <w:rsid w:val="00A840B5"/>
    <w:rsid w:val="00A84F50"/>
    <w:rsid w:val="00A87786"/>
    <w:rsid w:val="00AA12FA"/>
    <w:rsid w:val="00AA1371"/>
    <w:rsid w:val="00AA1893"/>
    <w:rsid w:val="00AA5505"/>
    <w:rsid w:val="00AA5985"/>
    <w:rsid w:val="00AA5A55"/>
    <w:rsid w:val="00AB08FC"/>
    <w:rsid w:val="00AB5893"/>
    <w:rsid w:val="00AB676E"/>
    <w:rsid w:val="00AC2BB9"/>
    <w:rsid w:val="00AC3009"/>
    <w:rsid w:val="00AC31D3"/>
    <w:rsid w:val="00AC77BA"/>
    <w:rsid w:val="00AD46F6"/>
    <w:rsid w:val="00AD5EFF"/>
    <w:rsid w:val="00AE2523"/>
    <w:rsid w:val="00AE3370"/>
    <w:rsid w:val="00AE4434"/>
    <w:rsid w:val="00AE4E0D"/>
    <w:rsid w:val="00AE7E93"/>
    <w:rsid w:val="00AF1E02"/>
    <w:rsid w:val="00AF3695"/>
    <w:rsid w:val="00AF43E2"/>
    <w:rsid w:val="00AF457A"/>
    <w:rsid w:val="00AF51AB"/>
    <w:rsid w:val="00AF6CCA"/>
    <w:rsid w:val="00B0095F"/>
    <w:rsid w:val="00B029B6"/>
    <w:rsid w:val="00B04854"/>
    <w:rsid w:val="00B06BDD"/>
    <w:rsid w:val="00B07A6C"/>
    <w:rsid w:val="00B125A8"/>
    <w:rsid w:val="00B12B1D"/>
    <w:rsid w:val="00B130F6"/>
    <w:rsid w:val="00B2183A"/>
    <w:rsid w:val="00B21A61"/>
    <w:rsid w:val="00B227F6"/>
    <w:rsid w:val="00B22B42"/>
    <w:rsid w:val="00B241DA"/>
    <w:rsid w:val="00B25262"/>
    <w:rsid w:val="00B267B0"/>
    <w:rsid w:val="00B30581"/>
    <w:rsid w:val="00B30986"/>
    <w:rsid w:val="00B3281D"/>
    <w:rsid w:val="00B33781"/>
    <w:rsid w:val="00B3658C"/>
    <w:rsid w:val="00B45652"/>
    <w:rsid w:val="00B53054"/>
    <w:rsid w:val="00B63B8A"/>
    <w:rsid w:val="00B67EAB"/>
    <w:rsid w:val="00B712F3"/>
    <w:rsid w:val="00B758A5"/>
    <w:rsid w:val="00B82DF3"/>
    <w:rsid w:val="00B85CE4"/>
    <w:rsid w:val="00B867ED"/>
    <w:rsid w:val="00B96406"/>
    <w:rsid w:val="00BA0F5B"/>
    <w:rsid w:val="00BA2D7C"/>
    <w:rsid w:val="00BA4103"/>
    <w:rsid w:val="00BA50EA"/>
    <w:rsid w:val="00BA653B"/>
    <w:rsid w:val="00BB0999"/>
    <w:rsid w:val="00BB0B51"/>
    <w:rsid w:val="00BB0FC2"/>
    <w:rsid w:val="00BB4131"/>
    <w:rsid w:val="00BB6E48"/>
    <w:rsid w:val="00BC4065"/>
    <w:rsid w:val="00BC6AE9"/>
    <w:rsid w:val="00BD07E7"/>
    <w:rsid w:val="00BD0E45"/>
    <w:rsid w:val="00BD6F0B"/>
    <w:rsid w:val="00BE2B89"/>
    <w:rsid w:val="00BE2F16"/>
    <w:rsid w:val="00BE43F5"/>
    <w:rsid w:val="00BE6FAD"/>
    <w:rsid w:val="00BF051C"/>
    <w:rsid w:val="00C0452F"/>
    <w:rsid w:val="00C049A7"/>
    <w:rsid w:val="00C074FA"/>
    <w:rsid w:val="00C07964"/>
    <w:rsid w:val="00C16CF2"/>
    <w:rsid w:val="00C20453"/>
    <w:rsid w:val="00C2799A"/>
    <w:rsid w:val="00C306F7"/>
    <w:rsid w:val="00C3244D"/>
    <w:rsid w:val="00C42B65"/>
    <w:rsid w:val="00C51A3C"/>
    <w:rsid w:val="00C51B29"/>
    <w:rsid w:val="00C526FF"/>
    <w:rsid w:val="00C546F6"/>
    <w:rsid w:val="00C60023"/>
    <w:rsid w:val="00C67939"/>
    <w:rsid w:val="00C81172"/>
    <w:rsid w:val="00C86523"/>
    <w:rsid w:val="00C905F1"/>
    <w:rsid w:val="00C96864"/>
    <w:rsid w:val="00CB6545"/>
    <w:rsid w:val="00CB7C72"/>
    <w:rsid w:val="00CC2755"/>
    <w:rsid w:val="00CC7B53"/>
    <w:rsid w:val="00CD172E"/>
    <w:rsid w:val="00CD737D"/>
    <w:rsid w:val="00CE1148"/>
    <w:rsid w:val="00CE382E"/>
    <w:rsid w:val="00CE4137"/>
    <w:rsid w:val="00CE49C9"/>
    <w:rsid w:val="00CF476A"/>
    <w:rsid w:val="00D04C96"/>
    <w:rsid w:val="00D0632C"/>
    <w:rsid w:val="00D112F1"/>
    <w:rsid w:val="00D16176"/>
    <w:rsid w:val="00D174EB"/>
    <w:rsid w:val="00D17783"/>
    <w:rsid w:val="00D2187D"/>
    <w:rsid w:val="00D3290C"/>
    <w:rsid w:val="00D4014A"/>
    <w:rsid w:val="00D4456A"/>
    <w:rsid w:val="00D44B15"/>
    <w:rsid w:val="00D4567F"/>
    <w:rsid w:val="00D46FC7"/>
    <w:rsid w:val="00D5239B"/>
    <w:rsid w:val="00D526F6"/>
    <w:rsid w:val="00D5327B"/>
    <w:rsid w:val="00D54CF6"/>
    <w:rsid w:val="00D65E11"/>
    <w:rsid w:val="00D665DE"/>
    <w:rsid w:val="00D70475"/>
    <w:rsid w:val="00D75560"/>
    <w:rsid w:val="00D759B4"/>
    <w:rsid w:val="00D76B47"/>
    <w:rsid w:val="00D8534B"/>
    <w:rsid w:val="00D85B39"/>
    <w:rsid w:val="00D8640E"/>
    <w:rsid w:val="00D91F29"/>
    <w:rsid w:val="00D92AAE"/>
    <w:rsid w:val="00D933AE"/>
    <w:rsid w:val="00D93FE8"/>
    <w:rsid w:val="00D94FD5"/>
    <w:rsid w:val="00DA3A28"/>
    <w:rsid w:val="00DA3F79"/>
    <w:rsid w:val="00DB2E6D"/>
    <w:rsid w:val="00DB48D2"/>
    <w:rsid w:val="00DB66E6"/>
    <w:rsid w:val="00DB77A0"/>
    <w:rsid w:val="00DC45A3"/>
    <w:rsid w:val="00DD0CA4"/>
    <w:rsid w:val="00DD111B"/>
    <w:rsid w:val="00DD3E1C"/>
    <w:rsid w:val="00DD464F"/>
    <w:rsid w:val="00DD7795"/>
    <w:rsid w:val="00DD7F16"/>
    <w:rsid w:val="00DE7AA5"/>
    <w:rsid w:val="00DF051A"/>
    <w:rsid w:val="00DF21DC"/>
    <w:rsid w:val="00DF2EAB"/>
    <w:rsid w:val="00DF762D"/>
    <w:rsid w:val="00E03838"/>
    <w:rsid w:val="00E04C49"/>
    <w:rsid w:val="00E07B93"/>
    <w:rsid w:val="00E07C8C"/>
    <w:rsid w:val="00E1168E"/>
    <w:rsid w:val="00E17232"/>
    <w:rsid w:val="00E200BD"/>
    <w:rsid w:val="00E30116"/>
    <w:rsid w:val="00E3163C"/>
    <w:rsid w:val="00E35231"/>
    <w:rsid w:val="00E37EC5"/>
    <w:rsid w:val="00E4594D"/>
    <w:rsid w:val="00E4625A"/>
    <w:rsid w:val="00E4729C"/>
    <w:rsid w:val="00E50312"/>
    <w:rsid w:val="00E50A08"/>
    <w:rsid w:val="00E521EC"/>
    <w:rsid w:val="00E618D8"/>
    <w:rsid w:val="00E62CDE"/>
    <w:rsid w:val="00E63DF9"/>
    <w:rsid w:val="00E67759"/>
    <w:rsid w:val="00E75490"/>
    <w:rsid w:val="00E825C6"/>
    <w:rsid w:val="00E86A32"/>
    <w:rsid w:val="00EA383C"/>
    <w:rsid w:val="00EA444F"/>
    <w:rsid w:val="00EB0617"/>
    <w:rsid w:val="00EB28BF"/>
    <w:rsid w:val="00EB4B9B"/>
    <w:rsid w:val="00EC3ECF"/>
    <w:rsid w:val="00EC478A"/>
    <w:rsid w:val="00EC4F48"/>
    <w:rsid w:val="00EC55AC"/>
    <w:rsid w:val="00EC64DD"/>
    <w:rsid w:val="00ED08B3"/>
    <w:rsid w:val="00ED23F7"/>
    <w:rsid w:val="00ED2AFB"/>
    <w:rsid w:val="00EE325F"/>
    <w:rsid w:val="00EE4D62"/>
    <w:rsid w:val="00EF4259"/>
    <w:rsid w:val="00F01237"/>
    <w:rsid w:val="00F0164D"/>
    <w:rsid w:val="00F025DE"/>
    <w:rsid w:val="00F03599"/>
    <w:rsid w:val="00F03C66"/>
    <w:rsid w:val="00F04F5B"/>
    <w:rsid w:val="00F05731"/>
    <w:rsid w:val="00F1093F"/>
    <w:rsid w:val="00F15075"/>
    <w:rsid w:val="00F32622"/>
    <w:rsid w:val="00F32694"/>
    <w:rsid w:val="00F3473D"/>
    <w:rsid w:val="00F3542E"/>
    <w:rsid w:val="00F35FA4"/>
    <w:rsid w:val="00F379DF"/>
    <w:rsid w:val="00F456B4"/>
    <w:rsid w:val="00F5028B"/>
    <w:rsid w:val="00F52DB4"/>
    <w:rsid w:val="00F6275E"/>
    <w:rsid w:val="00F63AA1"/>
    <w:rsid w:val="00F65ABC"/>
    <w:rsid w:val="00F758A0"/>
    <w:rsid w:val="00F75C5A"/>
    <w:rsid w:val="00F77EED"/>
    <w:rsid w:val="00F833CC"/>
    <w:rsid w:val="00F852C2"/>
    <w:rsid w:val="00F87807"/>
    <w:rsid w:val="00F90496"/>
    <w:rsid w:val="00F96434"/>
    <w:rsid w:val="00F96FB1"/>
    <w:rsid w:val="00FA27C4"/>
    <w:rsid w:val="00FA46A8"/>
    <w:rsid w:val="00FA5B30"/>
    <w:rsid w:val="00FA67B0"/>
    <w:rsid w:val="00FB157F"/>
    <w:rsid w:val="00FB3CCB"/>
    <w:rsid w:val="00FB641F"/>
    <w:rsid w:val="00FC3D4A"/>
    <w:rsid w:val="00FD17B0"/>
    <w:rsid w:val="00FE2021"/>
    <w:rsid w:val="00FE24B3"/>
    <w:rsid w:val="00FE4A5D"/>
    <w:rsid w:val="00FE4F38"/>
    <w:rsid w:val="00FF43CB"/>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4F19FC"/>
  </w:style>
  <w:style w:type="character" w:styleId="Strong">
    <w:name w:val="Strong"/>
    <w:uiPriority w:val="22"/>
    <w:qFormat/>
    <w:rsid w:val="00EC478A"/>
    <w:rPr>
      <w:b/>
      <w:bCs/>
    </w:rPr>
  </w:style>
  <w:style w:type="character" w:customStyle="1" w:styleId="hps">
    <w:name w:val="hps"/>
    <w:basedOn w:val="DefaultParagraphFont"/>
    <w:rsid w:val="004223D7"/>
  </w:style>
  <w:style w:type="character" w:customStyle="1" w:styleId="shorttext">
    <w:name w:val="short_text"/>
    <w:basedOn w:val="DefaultParagraphFont"/>
    <w:rsid w:val="009846ED"/>
  </w:style>
  <w:style w:type="character" w:styleId="FollowedHyperlink">
    <w:name w:val="FollowedHyperlink"/>
    <w:rsid w:val="00092686"/>
    <w:rPr>
      <w:color w:val="800080"/>
      <w:u w:val="single"/>
    </w:rPr>
  </w:style>
  <w:style w:type="character" w:customStyle="1" w:styleId="s7d2086b4">
    <w:name w:val="s7d2086b4"/>
    <w:basedOn w:val="DefaultParagraphFont"/>
    <w:rsid w:val="002F65A0"/>
  </w:style>
  <w:style w:type="character" w:customStyle="1" w:styleId="wordhighlighted">
    <w:name w:val="wordhighlighted"/>
    <w:basedOn w:val="DefaultParagraphFont"/>
    <w:rsid w:val="00005EDC"/>
  </w:style>
  <w:style w:type="character" w:customStyle="1" w:styleId="column01">
    <w:name w:val="column01"/>
    <w:basedOn w:val="DefaultParagraphFont"/>
    <w:rsid w:val="00005EDC"/>
  </w:style>
  <w:style w:type="paragraph" w:customStyle="1" w:styleId="Normal1">
    <w:name w:val="Normal1"/>
    <w:basedOn w:val="Normal"/>
    <w:rsid w:val="00BE6FAD"/>
    <w:pPr>
      <w:spacing w:before="100" w:beforeAutospacing="1" w:after="100" w:afterAutospacing="1"/>
    </w:pPr>
  </w:style>
  <w:style w:type="character" w:customStyle="1" w:styleId="HeaderChar">
    <w:name w:val="Header Char"/>
    <w:link w:val="Header"/>
    <w:uiPriority w:val="99"/>
    <w:rsid w:val="00284160"/>
    <w:rPr>
      <w:sz w:val="24"/>
      <w:szCs w:val="24"/>
    </w:rPr>
  </w:style>
  <w:style w:type="paragraph" w:styleId="Caption">
    <w:name w:val="caption"/>
    <w:basedOn w:val="Normal"/>
    <w:next w:val="Normal"/>
    <w:uiPriority w:val="35"/>
    <w:qFormat/>
    <w:rsid w:val="001D18CE"/>
    <w:pPr>
      <w:jc w:val="right"/>
    </w:pPr>
    <w:rPr>
      <w:szCs w:val="20"/>
      <w:lang w:val="en-GB" w:eastAsia="en-GB"/>
    </w:rPr>
  </w:style>
  <w:style w:type="paragraph" w:styleId="BodyText">
    <w:name w:val="Body Text"/>
    <w:basedOn w:val="Normal"/>
    <w:link w:val="BodyTextChar"/>
    <w:uiPriority w:val="99"/>
    <w:unhideWhenUsed/>
    <w:rsid w:val="00A25238"/>
    <w:pPr>
      <w:ind w:right="-2"/>
    </w:pPr>
    <w:rPr>
      <w:sz w:val="20"/>
      <w:szCs w:val="20"/>
      <w:lang w:val="en-GB" w:eastAsia="en-GB"/>
    </w:rPr>
  </w:style>
  <w:style w:type="character" w:customStyle="1" w:styleId="BodyTextChar">
    <w:name w:val="Body Text Char"/>
    <w:basedOn w:val="DefaultParagraphFont"/>
    <w:link w:val="BodyText"/>
    <w:uiPriority w:val="99"/>
    <w:rsid w:val="00A25238"/>
  </w:style>
  <w:style w:type="paragraph" w:customStyle="1" w:styleId="yiv1402040874msonormal">
    <w:name w:val="yiv1402040874msonormal"/>
    <w:basedOn w:val="Normal"/>
    <w:rsid w:val="000312A2"/>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73365346">
      <w:bodyDiv w:val="1"/>
      <w:marLeft w:val="0"/>
      <w:marRight w:val="0"/>
      <w:marTop w:val="0"/>
      <w:marBottom w:val="0"/>
      <w:divBdr>
        <w:top w:val="none" w:sz="0" w:space="0" w:color="auto"/>
        <w:left w:val="none" w:sz="0" w:space="0" w:color="auto"/>
        <w:bottom w:val="none" w:sz="0" w:space="0" w:color="auto"/>
        <w:right w:val="none" w:sz="0" w:space="0" w:color="auto"/>
      </w:divBdr>
      <w:divsChild>
        <w:div w:id="1802993300">
          <w:marLeft w:val="0"/>
          <w:marRight w:val="0"/>
          <w:marTop w:val="188"/>
          <w:marBottom w:val="188"/>
          <w:divBdr>
            <w:top w:val="none" w:sz="0" w:space="0" w:color="auto"/>
            <w:left w:val="none" w:sz="0" w:space="0" w:color="auto"/>
            <w:bottom w:val="none" w:sz="0" w:space="0" w:color="auto"/>
            <w:right w:val="none" w:sz="0" w:space="0" w:color="auto"/>
          </w:divBdr>
          <w:divsChild>
            <w:div w:id="847671730">
              <w:marLeft w:val="0"/>
              <w:marRight w:val="0"/>
              <w:marTop w:val="0"/>
              <w:marBottom w:val="63"/>
              <w:divBdr>
                <w:top w:val="none" w:sz="0" w:space="0" w:color="auto"/>
                <w:left w:val="none" w:sz="0" w:space="0" w:color="auto"/>
                <w:bottom w:val="none" w:sz="0" w:space="0" w:color="auto"/>
                <w:right w:val="none" w:sz="0" w:space="0" w:color="auto"/>
              </w:divBdr>
              <w:divsChild>
                <w:div w:id="20379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008">
      <w:bodyDiv w:val="1"/>
      <w:marLeft w:val="0"/>
      <w:marRight w:val="0"/>
      <w:marTop w:val="0"/>
      <w:marBottom w:val="0"/>
      <w:divBdr>
        <w:top w:val="none" w:sz="0" w:space="0" w:color="auto"/>
        <w:left w:val="none" w:sz="0" w:space="0" w:color="auto"/>
        <w:bottom w:val="none" w:sz="0" w:space="0" w:color="auto"/>
        <w:right w:val="none" w:sz="0" w:space="0" w:color="auto"/>
      </w:divBdr>
      <w:divsChild>
        <w:div w:id="592515217">
          <w:marLeft w:val="0"/>
          <w:marRight w:val="0"/>
          <w:marTop w:val="0"/>
          <w:marBottom w:val="0"/>
          <w:divBdr>
            <w:top w:val="none" w:sz="0" w:space="0" w:color="auto"/>
            <w:left w:val="none" w:sz="0" w:space="0" w:color="auto"/>
            <w:bottom w:val="none" w:sz="0" w:space="0" w:color="auto"/>
            <w:right w:val="none" w:sz="0" w:space="0" w:color="auto"/>
          </w:divBdr>
          <w:divsChild>
            <w:div w:id="896862029">
              <w:marLeft w:val="0"/>
              <w:marRight w:val="0"/>
              <w:marTop w:val="0"/>
              <w:marBottom w:val="0"/>
              <w:divBdr>
                <w:top w:val="none" w:sz="0" w:space="0" w:color="auto"/>
                <w:left w:val="none" w:sz="0" w:space="0" w:color="auto"/>
                <w:bottom w:val="none" w:sz="0" w:space="0" w:color="auto"/>
                <w:right w:val="none" w:sz="0" w:space="0" w:color="auto"/>
              </w:divBdr>
              <w:divsChild>
                <w:div w:id="235093391">
                  <w:marLeft w:val="0"/>
                  <w:marRight w:val="0"/>
                  <w:marTop w:val="0"/>
                  <w:marBottom w:val="0"/>
                  <w:divBdr>
                    <w:top w:val="none" w:sz="0" w:space="0" w:color="auto"/>
                    <w:left w:val="none" w:sz="0" w:space="0" w:color="auto"/>
                    <w:bottom w:val="none" w:sz="0" w:space="0" w:color="auto"/>
                    <w:right w:val="none" w:sz="0" w:space="0" w:color="auto"/>
                  </w:divBdr>
                  <w:divsChild>
                    <w:div w:id="1556432141">
                      <w:marLeft w:val="0"/>
                      <w:marRight w:val="0"/>
                      <w:marTop w:val="0"/>
                      <w:marBottom w:val="0"/>
                      <w:divBdr>
                        <w:top w:val="none" w:sz="0" w:space="0" w:color="auto"/>
                        <w:left w:val="none" w:sz="0" w:space="0" w:color="auto"/>
                        <w:bottom w:val="none" w:sz="0" w:space="0" w:color="auto"/>
                        <w:right w:val="none" w:sz="0" w:space="0" w:color="auto"/>
                      </w:divBdr>
                      <w:divsChild>
                        <w:div w:id="900823484">
                          <w:marLeft w:val="0"/>
                          <w:marRight w:val="0"/>
                          <w:marTop w:val="0"/>
                          <w:marBottom w:val="0"/>
                          <w:divBdr>
                            <w:top w:val="none" w:sz="0" w:space="0" w:color="auto"/>
                            <w:left w:val="none" w:sz="0" w:space="0" w:color="auto"/>
                            <w:bottom w:val="none" w:sz="0" w:space="0" w:color="auto"/>
                            <w:right w:val="none" w:sz="0" w:space="0" w:color="auto"/>
                          </w:divBdr>
                          <w:divsChild>
                            <w:div w:id="1985812019">
                              <w:marLeft w:val="0"/>
                              <w:marRight w:val="0"/>
                              <w:marTop w:val="0"/>
                              <w:marBottom w:val="0"/>
                              <w:divBdr>
                                <w:top w:val="none" w:sz="0" w:space="0" w:color="auto"/>
                                <w:left w:val="none" w:sz="0" w:space="0" w:color="auto"/>
                                <w:bottom w:val="none" w:sz="0" w:space="0" w:color="auto"/>
                                <w:right w:val="none" w:sz="0" w:space="0" w:color="auto"/>
                              </w:divBdr>
                              <w:divsChild>
                                <w:div w:id="1634409180">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sChild>
                                        <w:div w:id="13632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54422">
      <w:bodyDiv w:val="1"/>
      <w:marLeft w:val="0"/>
      <w:marRight w:val="0"/>
      <w:marTop w:val="0"/>
      <w:marBottom w:val="0"/>
      <w:divBdr>
        <w:top w:val="none" w:sz="0" w:space="0" w:color="auto"/>
        <w:left w:val="none" w:sz="0" w:space="0" w:color="auto"/>
        <w:bottom w:val="none" w:sz="0" w:space="0" w:color="auto"/>
        <w:right w:val="none" w:sz="0" w:space="0" w:color="auto"/>
      </w:divBdr>
      <w:divsChild>
        <w:div w:id="499347435">
          <w:marLeft w:val="0"/>
          <w:marRight w:val="0"/>
          <w:marTop w:val="0"/>
          <w:marBottom w:val="0"/>
          <w:divBdr>
            <w:top w:val="none" w:sz="0" w:space="0" w:color="auto"/>
            <w:left w:val="none" w:sz="0" w:space="0" w:color="auto"/>
            <w:bottom w:val="none" w:sz="0" w:space="0" w:color="auto"/>
            <w:right w:val="none" w:sz="0" w:space="0" w:color="auto"/>
          </w:divBdr>
          <w:divsChild>
            <w:div w:id="1065756459">
              <w:marLeft w:val="0"/>
              <w:marRight w:val="0"/>
              <w:marTop w:val="0"/>
              <w:marBottom w:val="0"/>
              <w:divBdr>
                <w:top w:val="none" w:sz="0" w:space="0" w:color="auto"/>
                <w:left w:val="none" w:sz="0" w:space="0" w:color="auto"/>
                <w:bottom w:val="none" w:sz="0" w:space="0" w:color="auto"/>
                <w:right w:val="none" w:sz="0" w:space="0" w:color="auto"/>
              </w:divBdr>
              <w:divsChild>
                <w:div w:id="1972906235">
                  <w:marLeft w:val="0"/>
                  <w:marRight w:val="0"/>
                  <w:marTop w:val="0"/>
                  <w:marBottom w:val="0"/>
                  <w:divBdr>
                    <w:top w:val="none" w:sz="0" w:space="0" w:color="auto"/>
                    <w:left w:val="none" w:sz="0" w:space="0" w:color="auto"/>
                    <w:bottom w:val="none" w:sz="0" w:space="0" w:color="auto"/>
                    <w:right w:val="none" w:sz="0" w:space="0" w:color="auto"/>
                  </w:divBdr>
                  <w:divsChild>
                    <w:div w:id="2059890408">
                      <w:marLeft w:val="0"/>
                      <w:marRight w:val="0"/>
                      <w:marTop w:val="0"/>
                      <w:marBottom w:val="0"/>
                      <w:divBdr>
                        <w:top w:val="none" w:sz="0" w:space="0" w:color="auto"/>
                        <w:left w:val="none" w:sz="0" w:space="0" w:color="auto"/>
                        <w:bottom w:val="none" w:sz="0" w:space="0" w:color="auto"/>
                        <w:right w:val="none" w:sz="0" w:space="0" w:color="auto"/>
                      </w:divBdr>
                      <w:divsChild>
                        <w:div w:id="1165973944">
                          <w:marLeft w:val="0"/>
                          <w:marRight w:val="0"/>
                          <w:marTop w:val="0"/>
                          <w:marBottom w:val="0"/>
                          <w:divBdr>
                            <w:top w:val="none" w:sz="0" w:space="0" w:color="auto"/>
                            <w:left w:val="none" w:sz="0" w:space="0" w:color="auto"/>
                            <w:bottom w:val="none" w:sz="0" w:space="0" w:color="auto"/>
                            <w:right w:val="none" w:sz="0" w:space="0" w:color="auto"/>
                          </w:divBdr>
                          <w:divsChild>
                            <w:div w:id="685519170">
                              <w:marLeft w:val="0"/>
                              <w:marRight w:val="0"/>
                              <w:marTop w:val="0"/>
                              <w:marBottom w:val="0"/>
                              <w:divBdr>
                                <w:top w:val="none" w:sz="0" w:space="0" w:color="auto"/>
                                <w:left w:val="none" w:sz="0" w:space="0" w:color="auto"/>
                                <w:bottom w:val="none" w:sz="0" w:space="0" w:color="auto"/>
                                <w:right w:val="none" w:sz="0" w:space="0" w:color="auto"/>
                              </w:divBdr>
                              <w:divsChild>
                                <w:div w:id="1468473617">
                                  <w:marLeft w:val="0"/>
                                  <w:marRight w:val="0"/>
                                  <w:marTop w:val="0"/>
                                  <w:marBottom w:val="0"/>
                                  <w:divBdr>
                                    <w:top w:val="none" w:sz="0" w:space="0" w:color="auto"/>
                                    <w:left w:val="none" w:sz="0" w:space="0" w:color="auto"/>
                                    <w:bottom w:val="none" w:sz="0" w:space="0" w:color="auto"/>
                                    <w:right w:val="none" w:sz="0" w:space="0" w:color="auto"/>
                                  </w:divBdr>
                                  <w:divsChild>
                                    <w:div w:id="47653576">
                                      <w:marLeft w:val="0"/>
                                      <w:marRight w:val="0"/>
                                      <w:marTop w:val="0"/>
                                      <w:marBottom w:val="0"/>
                                      <w:divBdr>
                                        <w:top w:val="none" w:sz="0" w:space="0" w:color="auto"/>
                                        <w:left w:val="none" w:sz="0" w:space="0" w:color="auto"/>
                                        <w:bottom w:val="none" w:sz="0" w:space="0" w:color="auto"/>
                                        <w:right w:val="none" w:sz="0" w:space="0" w:color="auto"/>
                                      </w:divBdr>
                                      <w:divsChild>
                                        <w:div w:id="560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552839">
      <w:bodyDiv w:val="1"/>
      <w:marLeft w:val="0"/>
      <w:marRight w:val="0"/>
      <w:marTop w:val="0"/>
      <w:marBottom w:val="0"/>
      <w:divBdr>
        <w:top w:val="none" w:sz="0" w:space="0" w:color="auto"/>
        <w:left w:val="none" w:sz="0" w:space="0" w:color="auto"/>
        <w:bottom w:val="none" w:sz="0" w:space="0" w:color="auto"/>
        <w:right w:val="none" w:sz="0" w:space="0" w:color="auto"/>
      </w:divBdr>
      <w:divsChild>
        <w:div w:id="2016959970">
          <w:marLeft w:val="0"/>
          <w:marRight w:val="0"/>
          <w:marTop w:val="0"/>
          <w:marBottom w:val="0"/>
          <w:divBdr>
            <w:top w:val="none" w:sz="0" w:space="0" w:color="auto"/>
            <w:left w:val="none" w:sz="0" w:space="0" w:color="auto"/>
            <w:bottom w:val="none" w:sz="0" w:space="0" w:color="auto"/>
            <w:right w:val="none" w:sz="0" w:space="0" w:color="auto"/>
          </w:divBdr>
          <w:divsChild>
            <w:div w:id="353502301">
              <w:marLeft w:val="0"/>
              <w:marRight w:val="0"/>
              <w:marTop w:val="0"/>
              <w:marBottom w:val="0"/>
              <w:divBdr>
                <w:top w:val="none" w:sz="0" w:space="0" w:color="auto"/>
                <w:left w:val="none" w:sz="0" w:space="0" w:color="auto"/>
                <w:bottom w:val="none" w:sz="0" w:space="0" w:color="auto"/>
                <w:right w:val="none" w:sz="0" w:space="0" w:color="auto"/>
              </w:divBdr>
              <w:divsChild>
                <w:div w:id="1802110009">
                  <w:marLeft w:val="0"/>
                  <w:marRight w:val="0"/>
                  <w:marTop w:val="0"/>
                  <w:marBottom w:val="0"/>
                  <w:divBdr>
                    <w:top w:val="none" w:sz="0" w:space="0" w:color="auto"/>
                    <w:left w:val="none" w:sz="0" w:space="0" w:color="auto"/>
                    <w:bottom w:val="none" w:sz="0" w:space="0" w:color="auto"/>
                    <w:right w:val="none" w:sz="0" w:space="0" w:color="auto"/>
                  </w:divBdr>
                  <w:divsChild>
                    <w:div w:id="1142849267">
                      <w:marLeft w:val="0"/>
                      <w:marRight w:val="0"/>
                      <w:marTop w:val="0"/>
                      <w:marBottom w:val="0"/>
                      <w:divBdr>
                        <w:top w:val="none" w:sz="0" w:space="0" w:color="auto"/>
                        <w:left w:val="none" w:sz="0" w:space="0" w:color="auto"/>
                        <w:bottom w:val="none" w:sz="0" w:space="0" w:color="auto"/>
                        <w:right w:val="none" w:sz="0" w:space="0" w:color="auto"/>
                      </w:divBdr>
                      <w:divsChild>
                        <w:div w:id="1078939025">
                          <w:marLeft w:val="0"/>
                          <w:marRight w:val="0"/>
                          <w:marTop w:val="0"/>
                          <w:marBottom w:val="0"/>
                          <w:divBdr>
                            <w:top w:val="none" w:sz="0" w:space="0" w:color="auto"/>
                            <w:left w:val="none" w:sz="0" w:space="0" w:color="auto"/>
                            <w:bottom w:val="none" w:sz="0" w:space="0" w:color="auto"/>
                            <w:right w:val="none" w:sz="0" w:space="0" w:color="auto"/>
                          </w:divBdr>
                          <w:divsChild>
                            <w:div w:id="326832484">
                              <w:marLeft w:val="0"/>
                              <w:marRight w:val="0"/>
                              <w:marTop w:val="0"/>
                              <w:marBottom w:val="0"/>
                              <w:divBdr>
                                <w:top w:val="none" w:sz="0" w:space="0" w:color="auto"/>
                                <w:left w:val="none" w:sz="0" w:space="0" w:color="auto"/>
                                <w:bottom w:val="none" w:sz="0" w:space="0" w:color="auto"/>
                                <w:right w:val="none" w:sz="0" w:space="0" w:color="auto"/>
                              </w:divBdr>
                              <w:divsChild>
                                <w:div w:id="874151839">
                                  <w:marLeft w:val="0"/>
                                  <w:marRight w:val="0"/>
                                  <w:marTop w:val="0"/>
                                  <w:marBottom w:val="0"/>
                                  <w:divBdr>
                                    <w:top w:val="none" w:sz="0" w:space="0" w:color="auto"/>
                                    <w:left w:val="none" w:sz="0" w:space="0" w:color="auto"/>
                                    <w:bottom w:val="none" w:sz="0" w:space="0" w:color="auto"/>
                                    <w:right w:val="none" w:sz="0" w:space="0" w:color="auto"/>
                                  </w:divBdr>
                                  <w:divsChild>
                                    <w:div w:id="53939876">
                                      <w:marLeft w:val="0"/>
                                      <w:marRight w:val="0"/>
                                      <w:marTop w:val="0"/>
                                      <w:marBottom w:val="0"/>
                                      <w:divBdr>
                                        <w:top w:val="none" w:sz="0" w:space="0" w:color="auto"/>
                                        <w:left w:val="none" w:sz="0" w:space="0" w:color="auto"/>
                                        <w:bottom w:val="none" w:sz="0" w:space="0" w:color="auto"/>
                                        <w:right w:val="none" w:sz="0" w:space="0" w:color="auto"/>
                                      </w:divBdr>
                                      <w:divsChild>
                                        <w:div w:id="779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04786">
      <w:bodyDiv w:val="1"/>
      <w:marLeft w:val="0"/>
      <w:marRight w:val="0"/>
      <w:marTop w:val="0"/>
      <w:marBottom w:val="0"/>
      <w:divBdr>
        <w:top w:val="none" w:sz="0" w:space="0" w:color="auto"/>
        <w:left w:val="none" w:sz="0" w:space="0" w:color="auto"/>
        <w:bottom w:val="none" w:sz="0" w:space="0" w:color="auto"/>
        <w:right w:val="none" w:sz="0" w:space="0" w:color="auto"/>
      </w:divBdr>
      <w:divsChild>
        <w:div w:id="1991208689">
          <w:marLeft w:val="0"/>
          <w:marRight w:val="0"/>
          <w:marTop w:val="0"/>
          <w:marBottom w:val="0"/>
          <w:divBdr>
            <w:top w:val="none" w:sz="0" w:space="0" w:color="auto"/>
            <w:left w:val="none" w:sz="0" w:space="0" w:color="auto"/>
            <w:bottom w:val="none" w:sz="0" w:space="0" w:color="auto"/>
            <w:right w:val="none" w:sz="0" w:space="0" w:color="auto"/>
          </w:divBdr>
          <w:divsChild>
            <w:div w:id="1702169233">
              <w:marLeft w:val="0"/>
              <w:marRight w:val="0"/>
              <w:marTop w:val="0"/>
              <w:marBottom w:val="0"/>
              <w:divBdr>
                <w:top w:val="none" w:sz="0" w:space="0" w:color="auto"/>
                <w:left w:val="none" w:sz="0" w:space="0" w:color="auto"/>
                <w:bottom w:val="none" w:sz="0" w:space="0" w:color="auto"/>
                <w:right w:val="none" w:sz="0" w:space="0" w:color="auto"/>
              </w:divBdr>
              <w:divsChild>
                <w:div w:id="1577863529">
                  <w:marLeft w:val="0"/>
                  <w:marRight w:val="0"/>
                  <w:marTop w:val="0"/>
                  <w:marBottom w:val="0"/>
                  <w:divBdr>
                    <w:top w:val="none" w:sz="0" w:space="0" w:color="auto"/>
                    <w:left w:val="none" w:sz="0" w:space="0" w:color="auto"/>
                    <w:bottom w:val="none" w:sz="0" w:space="0" w:color="auto"/>
                    <w:right w:val="none" w:sz="0" w:space="0" w:color="auto"/>
                  </w:divBdr>
                  <w:divsChild>
                    <w:div w:id="1220626132">
                      <w:marLeft w:val="0"/>
                      <w:marRight w:val="0"/>
                      <w:marTop w:val="0"/>
                      <w:marBottom w:val="0"/>
                      <w:divBdr>
                        <w:top w:val="none" w:sz="0" w:space="0" w:color="auto"/>
                        <w:left w:val="none" w:sz="0" w:space="0" w:color="auto"/>
                        <w:bottom w:val="none" w:sz="0" w:space="0" w:color="auto"/>
                        <w:right w:val="none" w:sz="0" w:space="0" w:color="auto"/>
                      </w:divBdr>
                      <w:divsChild>
                        <w:div w:id="594245759">
                          <w:marLeft w:val="0"/>
                          <w:marRight w:val="0"/>
                          <w:marTop w:val="0"/>
                          <w:marBottom w:val="0"/>
                          <w:divBdr>
                            <w:top w:val="none" w:sz="0" w:space="0" w:color="auto"/>
                            <w:left w:val="none" w:sz="0" w:space="0" w:color="auto"/>
                            <w:bottom w:val="none" w:sz="0" w:space="0" w:color="auto"/>
                            <w:right w:val="none" w:sz="0" w:space="0" w:color="auto"/>
                          </w:divBdr>
                          <w:divsChild>
                            <w:div w:id="673266850">
                              <w:marLeft w:val="0"/>
                              <w:marRight w:val="0"/>
                              <w:marTop w:val="0"/>
                              <w:marBottom w:val="0"/>
                              <w:divBdr>
                                <w:top w:val="none" w:sz="0" w:space="0" w:color="auto"/>
                                <w:left w:val="none" w:sz="0" w:space="0" w:color="auto"/>
                                <w:bottom w:val="none" w:sz="0" w:space="0" w:color="auto"/>
                                <w:right w:val="none" w:sz="0" w:space="0" w:color="auto"/>
                              </w:divBdr>
                              <w:divsChild>
                                <w:div w:id="1798916099">
                                  <w:marLeft w:val="0"/>
                                  <w:marRight w:val="0"/>
                                  <w:marTop w:val="0"/>
                                  <w:marBottom w:val="0"/>
                                  <w:divBdr>
                                    <w:top w:val="none" w:sz="0" w:space="0" w:color="auto"/>
                                    <w:left w:val="none" w:sz="0" w:space="0" w:color="auto"/>
                                    <w:bottom w:val="none" w:sz="0" w:space="0" w:color="auto"/>
                                    <w:right w:val="none" w:sz="0" w:space="0" w:color="auto"/>
                                  </w:divBdr>
                                  <w:divsChild>
                                    <w:div w:id="439834376">
                                      <w:marLeft w:val="0"/>
                                      <w:marRight w:val="0"/>
                                      <w:marTop w:val="0"/>
                                      <w:marBottom w:val="0"/>
                                      <w:divBdr>
                                        <w:top w:val="single" w:sz="4" w:space="0" w:color="F5F5F5"/>
                                        <w:left w:val="single" w:sz="4" w:space="0" w:color="F5F5F5"/>
                                        <w:bottom w:val="single" w:sz="4" w:space="0" w:color="F5F5F5"/>
                                        <w:right w:val="single" w:sz="4" w:space="0" w:color="F5F5F5"/>
                                      </w:divBdr>
                                      <w:divsChild>
                                        <w:div w:id="1203588712">
                                          <w:marLeft w:val="0"/>
                                          <w:marRight w:val="0"/>
                                          <w:marTop w:val="0"/>
                                          <w:marBottom w:val="0"/>
                                          <w:divBdr>
                                            <w:top w:val="none" w:sz="0" w:space="0" w:color="auto"/>
                                            <w:left w:val="none" w:sz="0" w:space="0" w:color="auto"/>
                                            <w:bottom w:val="none" w:sz="0" w:space="0" w:color="auto"/>
                                            <w:right w:val="none" w:sz="0" w:space="0" w:color="auto"/>
                                          </w:divBdr>
                                          <w:divsChild>
                                            <w:div w:id="11558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227143">
      <w:bodyDiv w:val="1"/>
      <w:marLeft w:val="0"/>
      <w:marRight w:val="0"/>
      <w:marTop w:val="0"/>
      <w:marBottom w:val="0"/>
      <w:divBdr>
        <w:top w:val="none" w:sz="0" w:space="0" w:color="auto"/>
        <w:left w:val="none" w:sz="0" w:space="0" w:color="auto"/>
        <w:bottom w:val="none" w:sz="0" w:space="0" w:color="auto"/>
        <w:right w:val="none" w:sz="0" w:space="0" w:color="auto"/>
      </w:divBdr>
      <w:divsChild>
        <w:div w:id="1036655997">
          <w:marLeft w:val="0"/>
          <w:marRight w:val="0"/>
          <w:marTop w:val="0"/>
          <w:marBottom w:val="0"/>
          <w:divBdr>
            <w:top w:val="none" w:sz="0" w:space="0" w:color="auto"/>
            <w:left w:val="none" w:sz="0" w:space="0" w:color="auto"/>
            <w:bottom w:val="none" w:sz="0" w:space="0" w:color="auto"/>
            <w:right w:val="none" w:sz="0" w:space="0" w:color="auto"/>
          </w:divBdr>
          <w:divsChild>
            <w:div w:id="1174496758">
              <w:marLeft w:val="0"/>
              <w:marRight w:val="0"/>
              <w:marTop w:val="0"/>
              <w:marBottom w:val="0"/>
              <w:divBdr>
                <w:top w:val="none" w:sz="0" w:space="0" w:color="auto"/>
                <w:left w:val="none" w:sz="0" w:space="0" w:color="auto"/>
                <w:bottom w:val="none" w:sz="0" w:space="0" w:color="auto"/>
                <w:right w:val="none" w:sz="0" w:space="0" w:color="auto"/>
              </w:divBdr>
              <w:divsChild>
                <w:div w:id="891816092">
                  <w:marLeft w:val="0"/>
                  <w:marRight w:val="0"/>
                  <w:marTop w:val="0"/>
                  <w:marBottom w:val="0"/>
                  <w:divBdr>
                    <w:top w:val="none" w:sz="0" w:space="0" w:color="auto"/>
                    <w:left w:val="none" w:sz="0" w:space="0" w:color="auto"/>
                    <w:bottom w:val="none" w:sz="0" w:space="0" w:color="auto"/>
                    <w:right w:val="none" w:sz="0" w:space="0" w:color="auto"/>
                  </w:divBdr>
                  <w:divsChild>
                    <w:div w:id="1541432121">
                      <w:marLeft w:val="0"/>
                      <w:marRight w:val="0"/>
                      <w:marTop w:val="0"/>
                      <w:marBottom w:val="0"/>
                      <w:divBdr>
                        <w:top w:val="none" w:sz="0" w:space="0" w:color="auto"/>
                        <w:left w:val="none" w:sz="0" w:space="0" w:color="auto"/>
                        <w:bottom w:val="none" w:sz="0" w:space="0" w:color="auto"/>
                        <w:right w:val="none" w:sz="0" w:space="0" w:color="auto"/>
                      </w:divBdr>
                      <w:divsChild>
                        <w:div w:id="1627588307">
                          <w:marLeft w:val="0"/>
                          <w:marRight w:val="0"/>
                          <w:marTop w:val="0"/>
                          <w:marBottom w:val="0"/>
                          <w:divBdr>
                            <w:top w:val="none" w:sz="0" w:space="0" w:color="auto"/>
                            <w:left w:val="none" w:sz="0" w:space="0" w:color="auto"/>
                            <w:bottom w:val="none" w:sz="0" w:space="0" w:color="auto"/>
                            <w:right w:val="none" w:sz="0" w:space="0" w:color="auto"/>
                          </w:divBdr>
                          <w:divsChild>
                            <w:div w:id="1029180336">
                              <w:marLeft w:val="0"/>
                              <w:marRight w:val="0"/>
                              <w:marTop w:val="0"/>
                              <w:marBottom w:val="0"/>
                              <w:divBdr>
                                <w:top w:val="none" w:sz="0" w:space="0" w:color="auto"/>
                                <w:left w:val="none" w:sz="0" w:space="0" w:color="auto"/>
                                <w:bottom w:val="none" w:sz="0" w:space="0" w:color="auto"/>
                                <w:right w:val="none" w:sz="0" w:space="0" w:color="auto"/>
                              </w:divBdr>
                              <w:divsChild>
                                <w:div w:id="156848212">
                                  <w:marLeft w:val="0"/>
                                  <w:marRight w:val="0"/>
                                  <w:marTop w:val="0"/>
                                  <w:marBottom w:val="0"/>
                                  <w:divBdr>
                                    <w:top w:val="none" w:sz="0" w:space="0" w:color="auto"/>
                                    <w:left w:val="none" w:sz="0" w:space="0" w:color="auto"/>
                                    <w:bottom w:val="none" w:sz="0" w:space="0" w:color="auto"/>
                                    <w:right w:val="none" w:sz="0" w:space="0" w:color="auto"/>
                                  </w:divBdr>
                                  <w:divsChild>
                                    <w:div w:id="1150554524">
                                      <w:marLeft w:val="0"/>
                                      <w:marRight w:val="0"/>
                                      <w:marTop w:val="0"/>
                                      <w:marBottom w:val="0"/>
                                      <w:divBdr>
                                        <w:top w:val="single" w:sz="4" w:space="0" w:color="F5F5F5"/>
                                        <w:left w:val="single" w:sz="4" w:space="0" w:color="F5F5F5"/>
                                        <w:bottom w:val="single" w:sz="4" w:space="0" w:color="F5F5F5"/>
                                        <w:right w:val="single" w:sz="4" w:space="0" w:color="F5F5F5"/>
                                      </w:divBdr>
                                      <w:divsChild>
                                        <w:div w:id="1793328884">
                                          <w:marLeft w:val="0"/>
                                          <w:marRight w:val="0"/>
                                          <w:marTop w:val="0"/>
                                          <w:marBottom w:val="0"/>
                                          <w:divBdr>
                                            <w:top w:val="none" w:sz="0" w:space="0" w:color="auto"/>
                                            <w:left w:val="none" w:sz="0" w:space="0" w:color="auto"/>
                                            <w:bottom w:val="none" w:sz="0" w:space="0" w:color="auto"/>
                                            <w:right w:val="none" w:sz="0" w:space="0" w:color="auto"/>
                                          </w:divBdr>
                                          <w:divsChild>
                                            <w:div w:id="12930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1953">
      <w:bodyDiv w:val="1"/>
      <w:marLeft w:val="0"/>
      <w:marRight w:val="0"/>
      <w:marTop w:val="0"/>
      <w:marBottom w:val="0"/>
      <w:divBdr>
        <w:top w:val="none" w:sz="0" w:space="0" w:color="auto"/>
        <w:left w:val="none" w:sz="0" w:space="0" w:color="auto"/>
        <w:bottom w:val="none" w:sz="0" w:space="0" w:color="auto"/>
        <w:right w:val="none" w:sz="0" w:space="0" w:color="auto"/>
      </w:divBdr>
      <w:divsChild>
        <w:div w:id="515651533">
          <w:marLeft w:val="0"/>
          <w:marRight w:val="0"/>
          <w:marTop w:val="0"/>
          <w:marBottom w:val="0"/>
          <w:divBdr>
            <w:top w:val="none" w:sz="0" w:space="0" w:color="auto"/>
            <w:left w:val="none" w:sz="0" w:space="0" w:color="auto"/>
            <w:bottom w:val="none" w:sz="0" w:space="0" w:color="auto"/>
            <w:right w:val="none" w:sz="0" w:space="0" w:color="auto"/>
          </w:divBdr>
          <w:divsChild>
            <w:div w:id="64761476">
              <w:marLeft w:val="0"/>
              <w:marRight w:val="0"/>
              <w:marTop w:val="0"/>
              <w:marBottom w:val="0"/>
              <w:divBdr>
                <w:top w:val="none" w:sz="0" w:space="0" w:color="auto"/>
                <w:left w:val="none" w:sz="0" w:space="0" w:color="auto"/>
                <w:bottom w:val="none" w:sz="0" w:space="0" w:color="auto"/>
                <w:right w:val="none" w:sz="0" w:space="0" w:color="auto"/>
              </w:divBdr>
              <w:divsChild>
                <w:div w:id="1209024263">
                  <w:marLeft w:val="0"/>
                  <w:marRight w:val="0"/>
                  <w:marTop w:val="0"/>
                  <w:marBottom w:val="0"/>
                  <w:divBdr>
                    <w:top w:val="none" w:sz="0" w:space="0" w:color="auto"/>
                    <w:left w:val="none" w:sz="0" w:space="0" w:color="auto"/>
                    <w:bottom w:val="none" w:sz="0" w:space="0" w:color="auto"/>
                    <w:right w:val="none" w:sz="0" w:space="0" w:color="auto"/>
                  </w:divBdr>
                  <w:divsChild>
                    <w:div w:id="1271426147">
                      <w:marLeft w:val="0"/>
                      <w:marRight w:val="0"/>
                      <w:marTop w:val="0"/>
                      <w:marBottom w:val="0"/>
                      <w:divBdr>
                        <w:top w:val="none" w:sz="0" w:space="0" w:color="auto"/>
                        <w:left w:val="none" w:sz="0" w:space="0" w:color="auto"/>
                        <w:bottom w:val="none" w:sz="0" w:space="0" w:color="auto"/>
                        <w:right w:val="none" w:sz="0" w:space="0" w:color="auto"/>
                      </w:divBdr>
                      <w:divsChild>
                        <w:div w:id="1802377740">
                          <w:marLeft w:val="0"/>
                          <w:marRight w:val="0"/>
                          <w:marTop w:val="0"/>
                          <w:marBottom w:val="0"/>
                          <w:divBdr>
                            <w:top w:val="none" w:sz="0" w:space="0" w:color="auto"/>
                            <w:left w:val="none" w:sz="0" w:space="0" w:color="auto"/>
                            <w:bottom w:val="none" w:sz="0" w:space="0" w:color="auto"/>
                            <w:right w:val="none" w:sz="0" w:space="0" w:color="auto"/>
                          </w:divBdr>
                          <w:divsChild>
                            <w:div w:id="258410005">
                              <w:marLeft w:val="0"/>
                              <w:marRight w:val="0"/>
                              <w:marTop w:val="0"/>
                              <w:marBottom w:val="0"/>
                              <w:divBdr>
                                <w:top w:val="none" w:sz="0" w:space="0" w:color="auto"/>
                                <w:left w:val="none" w:sz="0" w:space="0" w:color="auto"/>
                                <w:bottom w:val="none" w:sz="0" w:space="0" w:color="auto"/>
                                <w:right w:val="none" w:sz="0" w:space="0" w:color="auto"/>
                              </w:divBdr>
                              <w:divsChild>
                                <w:div w:id="1391028508">
                                  <w:marLeft w:val="0"/>
                                  <w:marRight w:val="0"/>
                                  <w:marTop w:val="0"/>
                                  <w:marBottom w:val="0"/>
                                  <w:divBdr>
                                    <w:top w:val="none" w:sz="0" w:space="0" w:color="auto"/>
                                    <w:left w:val="none" w:sz="0" w:space="0" w:color="auto"/>
                                    <w:bottom w:val="none" w:sz="0" w:space="0" w:color="auto"/>
                                    <w:right w:val="none" w:sz="0" w:space="0" w:color="auto"/>
                                  </w:divBdr>
                                  <w:divsChild>
                                    <w:div w:id="798693553">
                                      <w:marLeft w:val="0"/>
                                      <w:marRight w:val="0"/>
                                      <w:marTop w:val="0"/>
                                      <w:marBottom w:val="0"/>
                                      <w:divBdr>
                                        <w:top w:val="none" w:sz="0" w:space="0" w:color="auto"/>
                                        <w:left w:val="none" w:sz="0" w:space="0" w:color="auto"/>
                                        <w:bottom w:val="none" w:sz="0" w:space="0" w:color="auto"/>
                                        <w:right w:val="none" w:sz="0" w:space="0" w:color="auto"/>
                                      </w:divBdr>
                                      <w:divsChild>
                                        <w:div w:id="1153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24392">
      <w:bodyDiv w:val="1"/>
      <w:marLeft w:val="0"/>
      <w:marRight w:val="0"/>
      <w:marTop w:val="0"/>
      <w:marBottom w:val="0"/>
      <w:divBdr>
        <w:top w:val="none" w:sz="0" w:space="0" w:color="auto"/>
        <w:left w:val="none" w:sz="0" w:space="0" w:color="auto"/>
        <w:bottom w:val="none" w:sz="0" w:space="0" w:color="auto"/>
        <w:right w:val="none" w:sz="0" w:space="0" w:color="auto"/>
      </w:divBdr>
      <w:divsChild>
        <w:div w:id="515968921">
          <w:marLeft w:val="0"/>
          <w:marRight w:val="0"/>
          <w:marTop w:val="0"/>
          <w:marBottom w:val="0"/>
          <w:divBdr>
            <w:top w:val="none" w:sz="0" w:space="0" w:color="auto"/>
            <w:left w:val="none" w:sz="0" w:space="0" w:color="auto"/>
            <w:bottom w:val="none" w:sz="0" w:space="0" w:color="auto"/>
            <w:right w:val="none" w:sz="0" w:space="0" w:color="auto"/>
          </w:divBdr>
          <w:divsChild>
            <w:div w:id="2101871126">
              <w:marLeft w:val="0"/>
              <w:marRight w:val="0"/>
              <w:marTop w:val="0"/>
              <w:marBottom w:val="0"/>
              <w:divBdr>
                <w:top w:val="none" w:sz="0" w:space="0" w:color="auto"/>
                <w:left w:val="none" w:sz="0" w:space="0" w:color="auto"/>
                <w:bottom w:val="none" w:sz="0" w:space="0" w:color="auto"/>
                <w:right w:val="none" w:sz="0" w:space="0" w:color="auto"/>
              </w:divBdr>
              <w:divsChild>
                <w:div w:id="1910455894">
                  <w:marLeft w:val="0"/>
                  <w:marRight w:val="0"/>
                  <w:marTop w:val="0"/>
                  <w:marBottom w:val="0"/>
                  <w:divBdr>
                    <w:top w:val="none" w:sz="0" w:space="0" w:color="auto"/>
                    <w:left w:val="none" w:sz="0" w:space="0" w:color="auto"/>
                    <w:bottom w:val="none" w:sz="0" w:space="0" w:color="auto"/>
                    <w:right w:val="none" w:sz="0" w:space="0" w:color="auto"/>
                  </w:divBdr>
                  <w:divsChild>
                    <w:div w:id="181164428">
                      <w:marLeft w:val="0"/>
                      <w:marRight w:val="0"/>
                      <w:marTop w:val="0"/>
                      <w:marBottom w:val="0"/>
                      <w:divBdr>
                        <w:top w:val="none" w:sz="0" w:space="0" w:color="auto"/>
                        <w:left w:val="none" w:sz="0" w:space="0" w:color="auto"/>
                        <w:bottom w:val="none" w:sz="0" w:space="0" w:color="auto"/>
                        <w:right w:val="none" w:sz="0" w:space="0" w:color="auto"/>
                      </w:divBdr>
                      <w:divsChild>
                        <w:div w:id="890650498">
                          <w:marLeft w:val="0"/>
                          <w:marRight w:val="0"/>
                          <w:marTop w:val="0"/>
                          <w:marBottom w:val="0"/>
                          <w:divBdr>
                            <w:top w:val="none" w:sz="0" w:space="0" w:color="auto"/>
                            <w:left w:val="none" w:sz="0" w:space="0" w:color="auto"/>
                            <w:bottom w:val="none" w:sz="0" w:space="0" w:color="auto"/>
                            <w:right w:val="none" w:sz="0" w:space="0" w:color="auto"/>
                          </w:divBdr>
                          <w:divsChild>
                            <w:div w:id="1747681267">
                              <w:marLeft w:val="0"/>
                              <w:marRight w:val="0"/>
                              <w:marTop w:val="0"/>
                              <w:marBottom w:val="0"/>
                              <w:divBdr>
                                <w:top w:val="none" w:sz="0" w:space="0" w:color="auto"/>
                                <w:left w:val="none" w:sz="0" w:space="0" w:color="auto"/>
                                <w:bottom w:val="none" w:sz="0" w:space="0" w:color="auto"/>
                                <w:right w:val="none" w:sz="0" w:space="0" w:color="auto"/>
                              </w:divBdr>
                              <w:divsChild>
                                <w:div w:id="971982705">
                                  <w:marLeft w:val="0"/>
                                  <w:marRight w:val="0"/>
                                  <w:marTop w:val="0"/>
                                  <w:marBottom w:val="0"/>
                                  <w:divBdr>
                                    <w:top w:val="none" w:sz="0" w:space="0" w:color="auto"/>
                                    <w:left w:val="none" w:sz="0" w:space="0" w:color="auto"/>
                                    <w:bottom w:val="none" w:sz="0" w:space="0" w:color="auto"/>
                                    <w:right w:val="none" w:sz="0" w:space="0" w:color="auto"/>
                                  </w:divBdr>
                                  <w:divsChild>
                                    <w:div w:id="1966427893">
                                      <w:marLeft w:val="0"/>
                                      <w:marRight w:val="0"/>
                                      <w:marTop w:val="0"/>
                                      <w:marBottom w:val="0"/>
                                      <w:divBdr>
                                        <w:top w:val="none" w:sz="0" w:space="0" w:color="auto"/>
                                        <w:left w:val="none" w:sz="0" w:space="0" w:color="auto"/>
                                        <w:bottom w:val="none" w:sz="0" w:space="0" w:color="auto"/>
                                        <w:right w:val="none" w:sz="0" w:space="0" w:color="auto"/>
                                      </w:divBdr>
                                      <w:divsChild>
                                        <w:div w:id="615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277519">
      <w:bodyDiv w:val="1"/>
      <w:marLeft w:val="0"/>
      <w:marRight w:val="0"/>
      <w:marTop w:val="0"/>
      <w:marBottom w:val="0"/>
      <w:divBdr>
        <w:top w:val="none" w:sz="0" w:space="0" w:color="auto"/>
        <w:left w:val="none" w:sz="0" w:space="0" w:color="auto"/>
        <w:bottom w:val="none" w:sz="0" w:space="0" w:color="auto"/>
        <w:right w:val="none" w:sz="0" w:space="0" w:color="auto"/>
      </w:divBdr>
      <w:divsChild>
        <w:div w:id="675889336">
          <w:marLeft w:val="0"/>
          <w:marRight w:val="0"/>
          <w:marTop w:val="0"/>
          <w:marBottom w:val="0"/>
          <w:divBdr>
            <w:top w:val="none" w:sz="0" w:space="0" w:color="auto"/>
            <w:left w:val="none" w:sz="0" w:space="0" w:color="auto"/>
            <w:bottom w:val="none" w:sz="0" w:space="0" w:color="auto"/>
            <w:right w:val="none" w:sz="0" w:space="0" w:color="auto"/>
          </w:divBdr>
          <w:divsChild>
            <w:div w:id="1798448812">
              <w:marLeft w:val="0"/>
              <w:marRight w:val="0"/>
              <w:marTop w:val="0"/>
              <w:marBottom w:val="0"/>
              <w:divBdr>
                <w:top w:val="none" w:sz="0" w:space="0" w:color="auto"/>
                <w:left w:val="none" w:sz="0" w:space="0" w:color="auto"/>
                <w:bottom w:val="none" w:sz="0" w:space="0" w:color="auto"/>
                <w:right w:val="none" w:sz="0" w:space="0" w:color="auto"/>
              </w:divBdr>
              <w:divsChild>
                <w:div w:id="1049456387">
                  <w:marLeft w:val="0"/>
                  <w:marRight w:val="0"/>
                  <w:marTop w:val="0"/>
                  <w:marBottom w:val="0"/>
                  <w:divBdr>
                    <w:top w:val="none" w:sz="0" w:space="0" w:color="auto"/>
                    <w:left w:val="none" w:sz="0" w:space="0" w:color="auto"/>
                    <w:bottom w:val="none" w:sz="0" w:space="0" w:color="auto"/>
                    <w:right w:val="none" w:sz="0" w:space="0" w:color="auto"/>
                  </w:divBdr>
                  <w:divsChild>
                    <w:div w:id="393160838">
                      <w:marLeft w:val="0"/>
                      <w:marRight w:val="0"/>
                      <w:marTop w:val="0"/>
                      <w:marBottom w:val="0"/>
                      <w:divBdr>
                        <w:top w:val="none" w:sz="0" w:space="0" w:color="auto"/>
                        <w:left w:val="none" w:sz="0" w:space="0" w:color="auto"/>
                        <w:bottom w:val="none" w:sz="0" w:space="0" w:color="auto"/>
                        <w:right w:val="none" w:sz="0" w:space="0" w:color="auto"/>
                      </w:divBdr>
                      <w:divsChild>
                        <w:div w:id="1119297405">
                          <w:marLeft w:val="0"/>
                          <w:marRight w:val="0"/>
                          <w:marTop w:val="0"/>
                          <w:marBottom w:val="0"/>
                          <w:divBdr>
                            <w:top w:val="none" w:sz="0" w:space="0" w:color="auto"/>
                            <w:left w:val="none" w:sz="0" w:space="0" w:color="auto"/>
                            <w:bottom w:val="none" w:sz="0" w:space="0" w:color="auto"/>
                            <w:right w:val="none" w:sz="0" w:space="0" w:color="auto"/>
                          </w:divBdr>
                          <w:divsChild>
                            <w:div w:id="1434741345">
                              <w:marLeft w:val="0"/>
                              <w:marRight w:val="0"/>
                              <w:marTop w:val="0"/>
                              <w:marBottom w:val="0"/>
                              <w:divBdr>
                                <w:top w:val="none" w:sz="0" w:space="0" w:color="auto"/>
                                <w:left w:val="none" w:sz="0" w:space="0" w:color="auto"/>
                                <w:bottom w:val="none" w:sz="0" w:space="0" w:color="auto"/>
                                <w:right w:val="none" w:sz="0" w:space="0" w:color="auto"/>
                              </w:divBdr>
                              <w:divsChild>
                                <w:div w:id="312417875">
                                  <w:marLeft w:val="0"/>
                                  <w:marRight w:val="0"/>
                                  <w:marTop w:val="0"/>
                                  <w:marBottom w:val="0"/>
                                  <w:divBdr>
                                    <w:top w:val="none" w:sz="0" w:space="0" w:color="auto"/>
                                    <w:left w:val="none" w:sz="0" w:space="0" w:color="auto"/>
                                    <w:bottom w:val="none" w:sz="0" w:space="0" w:color="auto"/>
                                    <w:right w:val="none" w:sz="0" w:space="0" w:color="auto"/>
                                  </w:divBdr>
                                  <w:divsChild>
                                    <w:div w:id="335230610">
                                      <w:marLeft w:val="0"/>
                                      <w:marRight w:val="0"/>
                                      <w:marTop w:val="0"/>
                                      <w:marBottom w:val="0"/>
                                      <w:divBdr>
                                        <w:top w:val="single" w:sz="4" w:space="0" w:color="F5F5F5"/>
                                        <w:left w:val="single" w:sz="4" w:space="0" w:color="F5F5F5"/>
                                        <w:bottom w:val="single" w:sz="4" w:space="0" w:color="F5F5F5"/>
                                        <w:right w:val="single" w:sz="4" w:space="0" w:color="F5F5F5"/>
                                      </w:divBdr>
                                      <w:divsChild>
                                        <w:div w:id="1967004147">
                                          <w:marLeft w:val="0"/>
                                          <w:marRight w:val="0"/>
                                          <w:marTop w:val="0"/>
                                          <w:marBottom w:val="0"/>
                                          <w:divBdr>
                                            <w:top w:val="none" w:sz="0" w:space="0" w:color="auto"/>
                                            <w:left w:val="none" w:sz="0" w:space="0" w:color="auto"/>
                                            <w:bottom w:val="none" w:sz="0" w:space="0" w:color="auto"/>
                                            <w:right w:val="none" w:sz="0" w:space="0" w:color="auto"/>
                                          </w:divBdr>
                                          <w:divsChild>
                                            <w:div w:id="425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398569">
      <w:bodyDiv w:val="1"/>
      <w:marLeft w:val="0"/>
      <w:marRight w:val="0"/>
      <w:marTop w:val="0"/>
      <w:marBottom w:val="0"/>
      <w:divBdr>
        <w:top w:val="none" w:sz="0" w:space="0" w:color="auto"/>
        <w:left w:val="none" w:sz="0" w:space="0" w:color="auto"/>
        <w:bottom w:val="none" w:sz="0" w:space="0" w:color="auto"/>
        <w:right w:val="none" w:sz="0" w:space="0" w:color="auto"/>
      </w:divBdr>
      <w:divsChild>
        <w:div w:id="806975839">
          <w:marLeft w:val="0"/>
          <w:marRight w:val="0"/>
          <w:marTop w:val="0"/>
          <w:marBottom w:val="0"/>
          <w:divBdr>
            <w:top w:val="none" w:sz="0" w:space="0" w:color="auto"/>
            <w:left w:val="none" w:sz="0" w:space="0" w:color="auto"/>
            <w:bottom w:val="none" w:sz="0" w:space="0" w:color="auto"/>
            <w:right w:val="none" w:sz="0" w:space="0" w:color="auto"/>
          </w:divBdr>
          <w:divsChild>
            <w:div w:id="1676569205">
              <w:marLeft w:val="0"/>
              <w:marRight w:val="0"/>
              <w:marTop w:val="0"/>
              <w:marBottom w:val="0"/>
              <w:divBdr>
                <w:top w:val="none" w:sz="0" w:space="0" w:color="auto"/>
                <w:left w:val="none" w:sz="0" w:space="0" w:color="auto"/>
                <w:bottom w:val="none" w:sz="0" w:space="0" w:color="auto"/>
                <w:right w:val="none" w:sz="0" w:space="0" w:color="auto"/>
              </w:divBdr>
              <w:divsChild>
                <w:div w:id="745229413">
                  <w:marLeft w:val="0"/>
                  <w:marRight w:val="0"/>
                  <w:marTop w:val="0"/>
                  <w:marBottom w:val="0"/>
                  <w:divBdr>
                    <w:top w:val="none" w:sz="0" w:space="0" w:color="auto"/>
                    <w:left w:val="none" w:sz="0" w:space="0" w:color="auto"/>
                    <w:bottom w:val="none" w:sz="0" w:space="0" w:color="auto"/>
                    <w:right w:val="none" w:sz="0" w:space="0" w:color="auto"/>
                  </w:divBdr>
                  <w:divsChild>
                    <w:div w:id="244264931">
                      <w:marLeft w:val="0"/>
                      <w:marRight w:val="0"/>
                      <w:marTop w:val="0"/>
                      <w:marBottom w:val="0"/>
                      <w:divBdr>
                        <w:top w:val="none" w:sz="0" w:space="0" w:color="auto"/>
                        <w:left w:val="none" w:sz="0" w:space="0" w:color="auto"/>
                        <w:bottom w:val="none" w:sz="0" w:space="0" w:color="auto"/>
                        <w:right w:val="none" w:sz="0" w:space="0" w:color="auto"/>
                      </w:divBdr>
                      <w:divsChild>
                        <w:div w:id="45300527">
                          <w:marLeft w:val="0"/>
                          <w:marRight w:val="0"/>
                          <w:marTop w:val="0"/>
                          <w:marBottom w:val="0"/>
                          <w:divBdr>
                            <w:top w:val="none" w:sz="0" w:space="0" w:color="auto"/>
                            <w:left w:val="none" w:sz="0" w:space="0" w:color="auto"/>
                            <w:bottom w:val="none" w:sz="0" w:space="0" w:color="auto"/>
                            <w:right w:val="none" w:sz="0" w:space="0" w:color="auto"/>
                          </w:divBdr>
                          <w:divsChild>
                            <w:div w:id="961424731">
                              <w:marLeft w:val="0"/>
                              <w:marRight w:val="0"/>
                              <w:marTop w:val="0"/>
                              <w:marBottom w:val="0"/>
                              <w:divBdr>
                                <w:top w:val="none" w:sz="0" w:space="0" w:color="auto"/>
                                <w:left w:val="none" w:sz="0" w:space="0" w:color="auto"/>
                                <w:bottom w:val="none" w:sz="0" w:space="0" w:color="auto"/>
                                <w:right w:val="none" w:sz="0" w:space="0" w:color="auto"/>
                              </w:divBdr>
                              <w:divsChild>
                                <w:div w:id="1327512311">
                                  <w:marLeft w:val="0"/>
                                  <w:marRight w:val="0"/>
                                  <w:marTop w:val="0"/>
                                  <w:marBottom w:val="0"/>
                                  <w:divBdr>
                                    <w:top w:val="none" w:sz="0" w:space="0" w:color="auto"/>
                                    <w:left w:val="none" w:sz="0" w:space="0" w:color="auto"/>
                                    <w:bottom w:val="none" w:sz="0" w:space="0" w:color="auto"/>
                                    <w:right w:val="none" w:sz="0" w:space="0" w:color="auto"/>
                                  </w:divBdr>
                                  <w:divsChild>
                                    <w:div w:id="1561940239">
                                      <w:marLeft w:val="0"/>
                                      <w:marRight w:val="0"/>
                                      <w:marTop w:val="0"/>
                                      <w:marBottom w:val="0"/>
                                      <w:divBdr>
                                        <w:top w:val="none" w:sz="0" w:space="0" w:color="auto"/>
                                        <w:left w:val="none" w:sz="0" w:space="0" w:color="auto"/>
                                        <w:bottom w:val="none" w:sz="0" w:space="0" w:color="auto"/>
                                        <w:right w:val="none" w:sz="0" w:space="0" w:color="auto"/>
                                      </w:divBdr>
                                      <w:divsChild>
                                        <w:div w:id="1433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NEDELJKOVIĆ , Slavica </Reference>
    <Case_x0020_Year xmlns="63130c8a-8d1f-4e28-8ee3-43603ca9ef3b">2009</Case_x0020_Year>
    <Case_x0020_Status xmlns="16f2acb5-7363-4076-9084-069fc3bb4325">CASE CLOSED</Case_x0020_Status>
    <Date_x0020_of_x0020_Adoption xmlns="16f2acb5-7363-4076-9084-069fc3bb4325">2013-03-13T23:00:00+00:00</Date_x0020_of_x0020_Adoption>
    <Case_x0020_Number xmlns="16f2acb5-7363-4076-9084-069fc3bb4325">268/09</Case_x0020_Number>
    <Type_x0020_of_x0020_Document xmlns="16f2acb5-7363-4076-9084-069fc3bb4325">Opinion</Type_x0020_of_x0020_Document>
    <_dlc_DocId xmlns="b9fab99d-1571-47f6-8995-3a195ef041f8">M5JDUUKXSQ5W-25-721</_dlc_DocId>
    <_dlc_DocIdUrl xmlns="b9fab99d-1571-47f6-8995-3a195ef041f8">
      <Url>http://www.unmikonline.org/hrap/Eng/_layouts/DocIdRedir.aspx?ID=M5JDUUKXSQ5W-25-721</Url>
      <Description>M5JDUUKXSQ5W-25-721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19E6-09D8-4A7A-88C3-FC81912688EA}"/>
</file>

<file path=customXml/itemProps2.xml><?xml version="1.0" encoding="utf-8"?>
<ds:datastoreItem xmlns:ds="http://schemas.openxmlformats.org/officeDocument/2006/customXml" ds:itemID="{8BC3A8AF-5942-4F62-A7DE-3ADADCEF70E6}"/>
</file>

<file path=customXml/itemProps3.xml><?xml version="1.0" encoding="utf-8"?>
<ds:datastoreItem xmlns:ds="http://schemas.openxmlformats.org/officeDocument/2006/customXml" ds:itemID="{7B0FB7EE-0D8A-4A6B-BE23-618F7FAAE02A}"/>
</file>

<file path=customXml/itemProps4.xml><?xml version="1.0" encoding="utf-8"?>
<ds:datastoreItem xmlns:ds="http://schemas.openxmlformats.org/officeDocument/2006/customXml" ds:itemID="{A316CA0E-794D-4ECC-BE46-151D1A420EDC}"/>
</file>

<file path=customXml/itemProps5.xml><?xml version="1.0" encoding="utf-8"?>
<ds:datastoreItem xmlns:ds="http://schemas.openxmlformats.org/officeDocument/2006/customXml" ds:itemID="{130313D9-ECC3-4E79-A234-A4A601AEF070}"/>
</file>

<file path=docProps/app.xml><?xml version="1.0" encoding="utf-8"?>
<Properties xmlns="http://schemas.openxmlformats.org/officeDocument/2006/extended-properties" xmlns:vt="http://schemas.openxmlformats.org/officeDocument/2006/docPropsVTypes">
  <Template>Normal</Template>
  <TotalTime>1</TotalTime>
  <Pages>6</Pages>
  <Words>10552</Words>
  <Characters>55931</Characters>
  <Application>Microsoft Office Word</Application>
  <DocSecurity>0</DocSecurity>
  <Lines>699</Lines>
  <Paragraphs>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66406</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2013-03-15T15:23:00Z</cp:lastPrinted>
  <dcterms:created xsi:type="dcterms:W3CDTF">2013-05-09T13:10:00Z</dcterms:created>
  <dcterms:modified xsi:type="dcterms:W3CDTF">2013-05-09T13:10:00Z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d4bd8e7d-0fb8-4278-8b7a-129b1f9ab991</vt:lpwstr>
  </property>
</Properties>
</file>